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pPr>
      <w:bookmarkStart w:id="0" w:name="_Toc48665547"/>
      <w:r>
        <w:rPr>
          <w:rFonts w:hint="eastAsia"/>
          <w:b/>
          <w:bCs/>
          <w:kern w:val="0"/>
          <w:sz w:val="30"/>
          <w:szCs w:val="30"/>
        </w:rPr>
        <w:t>ICS 9</w:t>
      </w:r>
      <w:r>
        <w:rPr>
          <w:b/>
          <w:bCs/>
          <w:kern w:val="0"/>
          <w:sz w:val="30"/>
          <w:szCs w:val="30"/>
        </w:rPr>
        <w:t>1</w:t>
      </w:r>
      <w:r>
        <w:rPr>
          <w:rFonts w:hint="eastAsia"/>
          <w:b/>
          <w:bCs/>
          <w:kern w:val="0"/>
          <w:sz w:val="30"/>
          <w:szCs w:val="30"/>
        </w:rPr>
        <w:t>.0</w:t>
      </w:r>
      <w:r>
        <w:rPr>
          <w:b/>
          <w:bCs/>
          <w:kern w:val="0"/>
          <w:sz w:val="30"/>
          <w:szCs w:val="30"/>
        </w:rPr>
        <w:t>6</w:t>
      </w:r>
      <w:r>
        <w:rPr>
          <w:rFonts w:hint="eastAsia"/>
          <w:b/>
          <w:bCs/>
          <w:kern w:val="0"/>
          <w:sz w:val="30"/>
          <w:szCs w:val="30"/>
        </w:rPr>
        <w:t>0</w:t>
      </w:r>
      <w:r>
        <w:rPr>
          <w:b/>
          <w:bCs/>
          <w:kern w:val="0"/>
          <w:sz w:val="30"/>
          <w:szCs w:val="30"/>
        </w:rPr>
        <w:t>.50</w:t>
      </w:r>
    </w:p>
    <w:p>
      <w:pPr>
        <w:ind w:firstLine="0" w:firstLineChars="0"/>
      </w:pPr>
      <w:r>
        <w:rPr>
          <w:b/>
          <w:bCs/>
          <w:kern w:val="0"/>
          <w:sz w:val="30"/>
          <w:szCs w:val="30"/>
        </w:rPr>
        <w:t>Q</w:t>
      </w:r>
      <w:r>
        <w:rPr>
          <w:rFonts w:hint="eastAsia"/>
          <w:b/>
          <w:bCs/>
          <w:kern w:val="0"/>
          <w:sz w:val="30"/>
          <w:szCs w:val="30"/>
        </w:rPr>
        <w:t xml:space="preserve"> </w:t>
      </w:r>
      <w:r>
        <mc:AlternateContent>
          <mc:Choice Requires="wps">
            <w:drawing>
              <wp:anchor distT="0" distB="0" distL="114300" distR="114300" simplePos="0" relativeHeight="251660288" behindDoc="0" locked="1" layoutInCell="1" allowOverlap="1">
                <wp:simplePos x="0" y="0"/>
                <wp:positionH relativeFrom="margin">
                  <wp:posOffset>575945</wp:posOffset>
                </wp:positionH>
                <wp:positionV relativeFrom="margin">
                  <wp:posOffset>1077595</wp:posOffset>
                </wp:positionV>
                <wp:extent cx="5146040" cy="655320"/>
                <wp:effectExtent l="0" t="0" r="8890" b="0"/>
                <wp:wrapNone/>
                <wp:docPr id="6" name="文本框 6"/>
                <wp:cNvGraphicFramePr/>
                <a:graphic xmlns:a="http://schemas.openxmlformats.org/drawingml/2006/main">
                  <a:graphicData uri="http://schemas.microsoft.com/office/word/2010/wordprocessingShape">
                    <wps:wsp>
                      <wps:cNvSpPr txBox="1"/>
                      <wps:spPr>
                        <a:xfrm>
                          <a:off x="0" y="0"/>
                          <a:ext cx="5146040" cy="655320"/>
                        </a:xfrm>
                        <a:prstGeom prst="rect">
                          <a:avLst/>
                        </a:prstGeom>
                        <a:solidFill>
                          <a:srgbClr val="FFFFFF"/>
                        </a:solidFill>
                        <a:ln>
                          <a:noFill/>
                        </a:ln>
                        <a:effectLst/>
                      </wps:spPr>
                      <wps:txbx>
                        <w:txbxContent>
                          <w:p>
                            <w:pPr>
                              <w:ind w:firstLine="266" w:firstLineChars="50"/>
                              <w:rPr>
                                <w:rFonts w:hAnsi="黑体"/>
                                <w:b/>
                                <w:sz w:val="32"/>
                                <w:szCs w:val="32"/>
                              </w:rPr>
                            </w:pPr>
                            <w:r>
                              <w:rPr>
                                <w:rFonts w:hint="eastAsia" w:ascii="黑体" w:hAnsi="黑体" w:eastAsia="黑体"/>
                                <w:b/>
                                <w:spacing w:val="45"/>
                                <w:kern w:val="0"/>
                                <w:sz w:val="44"/>
                                <w:szCs w:val="44"/>
                                <w:fitText w:val="5746" w:id="-2033542656"/>
                              </w:rPr>
                              <w:t>江苏省土木建筑学会标</w:t>
                            </w:r>
                            <w:r>
                              <w:rPr>
                                <w:rFonts w:hint="eastAsia" w:ascii="黑体" w:hAnsi="黑体" w:eastAsia="黑体"/>
                                <w:b/>
                                <w:spacing w:val="3"/>
                                <w:kern w:val="0"/>
                                <w:sz w:val="44"/>
                                <w:szCs w:val="44"/>
                                <w:fitText w:val="5746" w:id="-2033542656"/>
                              </w:rPr>
                              <w:t>准</w:t>
                            </w:r>
                            <w:r>
                              <w:rPr>
                                <w:rFonts w:hint="eastAsia" w:hAnsi="黑体"/>
                                <w:b/>
                                <w:sz w:val="32"/>
                                <w:szCs w:val="32"/>
                              </w:rPr>
                              <w:t xml:space="preserve">      </w:t>
                            </w:r>
                            <w:r>
                              <w:rPr>
                                <w:rFonts w:hAnsi="黑体"/>
                                <w:b/>
                                <w:sz w:val="32"/>
                                <w:szCs w:val="32"/>
                              </w:rPr>
                              <w:t xml:space="preserve"> </w:t>
                            </w:r>
                            <w:r>
                              <w:rPr>
                                <w:rFonts w:hint="eastAsia" w:ascii="宋体" w:eastAsia="宋体"/>
                                <w:b/>
                                <w:sz w:val="84"/>
                                <w:szCs w:val="84"/>
                              </w:rPr>
                              <w:t>T</w:t>
                            </w:r>
                          </w:p>
                        </w:txbxContent>
                      </wps:txbx>
                      <wps:bodyPr lIns="0" tIns="0" rIns="0" bIns="0" upright="1"/>
                    </wps:wsp>
                  </a:graphicData>
                </a:graphic>
              </wp:anchor>
            </w:drawing>
          </mc:Choice>
          <mc:Fallback>
            <w:pict>
              <v:shape id="_x0000_s1026" o:spid="_x0000_s1026" o:spt="202" type="#_x0000_t202" style="position:absolute;left:0pt;margin-left:45.35pt;margin-top:84.85pt;height:51.6pt;width:405.2pt;mso-position-horizontal-relative:margin;mso-position-vertical-relative:margin;z-index:251660288;mso-width-relative:page;mso-height-relative:page;" fillcolor="#FFFFFF" filled="t" stroked="f" coordsize="21600,21600" o:gfxdata="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lReNrYAAAACgEAAA8AAAAAAAAAAQAg&#10;AAAAIgAAAGRycy9kb3ducmV2LnhtbFBLAQIUABQAAAAIAIdO4kDxR9ik1QEAAKkDAAAOAAAAAAAA&#10;AAEAIAAAACcBAABkcnMvZTJvRG9jLnhtbFBLBQYAAAAABgAGAFkBAABuBQAAAAA=&#10;">
                <v:fill on="t" focussize="0,0"/>
                <v:stroke on="f"/>
                <v:imagedata o:title=""/>
                <o:lock v:ext="edit" aspectratio="f"/>
                <v:textbox inset="0mm,0mm,0mm,0mm">
                  <w:txbxContent>
                    <w:p>
                      <w:pPr>
                        <w:ind w:firstLine="266" w:firstLineChars="50"/>
                        <w:rPr>
                          <w:rFonts w:hAnsi="黑体"/>
                          <w:b/>
                          <w:sz w:val="32"/>
                          <w:szCs w:val="32"/>
                        </w:rPr>
                      </w:pPr>
                      <w:r>
                        <w:rPr>
                          <w:rFonts w:hint="eastAsia" w:ascii="黑体" w:hAnsi="黑体" w:eastAsia="黑体"/>
                          <w:b/>
                          <w:spacing w:val="45"/>
                          <w:kern w:val="0"/>
                          <w:sz w:val="44"/>
                          <w:szCs w:val="44"/>
                          <w:fitText w:val="5746" w:id="-2033542656"/>
                        </w:rPr>
                        <w:t>江苏省土木建筑学会标</w:t>
                      </w:r>
                      <w:r>
                        <w:rPr>
                          <w:rFonts w:hint="eastAsia" w:ascii="黑体" w:hAnsi="黑体" w:eastAsia="黑体"/>
                          <w:b/>
                          <w:spacing w:val="3"/>
                          <w:kern w:val="0"/>
                          <w:sz w:val="44"/>
                          <w:szCs w:val="44"/>
                          <w:fitText w:val="5746" w:id="-2033542656"/>
                        </w:rPr>
                        <w:t>准</w:t>
                      </w:r>
                      <w:r>
                        <w:rPr>
                          <w:rFonts w:hint="eastAsia" w:hAnsi="黑体"/>
                          <w:b/>
                          <w:sz w:val="32"/>
                          <w:szCs w:val="32"/>
                        </w:rPr>
                        <w:t xml:space="preserve">      </w:t>
                      </w:r>
                      <w:r>
                        <w:rPr>
                          <w:rFonts w:hAnsi="黑体"/>
                          <w:b/>
                          <w:sz w:val="32"/>
                          <w:szCs w:val="32"/>
                        </w:rPr>
                        <w:t xml:space="preserve"> </w:t>
                      </w:r>
                      <w:r>
                        <w:rPr>
                          <w:rFonts w:hint="eastAsia" w:ascii="宋体" w:eastAsia="宋体"/>
                          <w:b/>
                          <w:sz w:val="84"/>
                          <w:szCs w:val="84"/>
                        </w:rPr>
                        <w:t>T</w:t>
                      </w:r>
                    </w:p>
                  </w:txbxContent>
                </v:textbox>
                <w10:anchorlock/>
              </v:shape>
            </w:pict>
          </mc:Fallback>
        </mc:AlternateContent>
      </w:r>
      <w:r>
        <w:rPr>
          <w:b/>
          <w:bCs/>
          <w:kern w:val="0"/>
          <w:sz w:val="30"/>
          <w:szCs w:val="30"/>
        </w:rPr>
        <w:t>70</w:t>
      </w: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jc w:val="right"/>
        <w:rPr>
          <w:b/>
          <w:sz w:val="30"/>
          <w:szCs w:val="30"/>
        </w:rPr>
      </w:pPr>
      <w:bookmarkStart w:id="1" w:name="_Hlk77743695"/>
      <w:r>
        <w:rPr>
          <w:b/>
          <w:sz w:val="30"/>
          <w:szCs w:val="30"/>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381635</wp:posOffset>
                </wp:positionV>
                <wp:extent cx="5273040" cy="0"/>
                <wp:effectExtent l="0" t="19050" r="22860" b="19050"/>
                <wp:wrapNone/>
                <wp:docPr id="3" name="直接连接符 3"/>
                <wp:cNvGraphicFramePr/>
                <a:graphic xmlns:a="http://schemas.openxmlformats.org/drawingml/2006/main">
                  <a:graphicData uri="http://schemas.microsoft.com/office/word/2010/wordprocessingShape">
                    <wps:wsp>
                      <wps:cNvCnPr/>
                      <wps:spPr>
                        <a:xfrm>
                          <a:off x="0" y="0"/>
                          <a:ext cx="5273040" cy="0"/>
                        </a:xfrm>
                        <a:prstGeom prst="line">
                          <a:avLst/>
                        </a:prstGeom>
                        <a:ln w="317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85pt;margin-top:30.05pt;height:0pt;width:415.2pt;z-index:251661312;mso-width-relative:page;mso-height-relative:page;" filled="f" stroked="t" coordsize="21600,21600" o:gfxdata="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ZGYWNMAAAAHAQAADwAAAAAAAAABACAAAAAiAAAAZHJzL2Rvd25yZXYueG1sUEsBAhQAFAAAAAgA&#10;h07iQAtyZWXxAQAA5wMAAA4AAAAAAAAAAQAgAAAAIgEAAGRycy9lMm9Eb2MueG1sUEsFBgAAAAAG&#10;AAYAWQEAAIUFAAAAAA==&#10;">
                <v:fill on="f" focussize="0,0"/>
                <v:stroke weight="2.5pt" color="#000000" joinstyle="round"/>
                <v:imagedata o:title=""/>
                <o:lock v:ext="edit" aspectratio="f"/>
              </v:line>
            </w:pict>
          </mc:Fallback>
        </mc:AlternateContent>
      </w:r>
      <w:r>
        <w:rPr>
          <w:b/>
          <w:bCs/>
          <w:kern w:val="0"/>
          <w:sz w:val="30"/>
          <w:szCs w:val="30"/>
        </w:rPr>
        <w:t>T/</w:t>
      </w:r>
      <w:r>
        <w:rPr>
          <w:rFonts w:hint="eastAsia"/>
          <w:b/>
          <w:bCs/>
          <w:kern w:val="0"/>
          <w:sz w:val="30"/>
          <w:szCs w:val="30"/>
        </w:rPr>
        <w:t>JSTJXH  XXX</w:t>
      </w:r>
      <w:r>
        <w:rPr>
          <w:rFonts w:hint="eastAsia" w:ascii="Times New Roman,Bold" w:eastAsia="Times New Roman,Bold" w:cs="Times New Roman,Bold"/>
          <w:b/>
          <w:bCs/>
          <w:kern w:val="0"/>
          <w:sz w:val="30"/>
          <w:szCs w:val="30"/>
        </w:rPr>
        <w:t>-</w:t>
      </w:r>
      <w:r>
        <w:rPr>
          <w:b/>
          <w:bCs/>
          <w:kern w:val="0"/>
          <w:sz w:val="30"/>
          <w:szCs w:val="30"/>
        </w:rPr>
        <w:t>20</w:t>
      </w:r>
      <w:r>
        <w:rPr>
          <w:rFonts w:hint="eastAsia"/>
          <w:b/>
          <w:bCs/>
          <w:kern w:val="0"/>
          <w:sz w:val="30"/>
          <w:szCs w:val="30"/>
        </w:rPr>
        <w:t>2</w:t>
      </w:r>
      <w:r>
        <w:rPr>
          <w:b/>
          <w:bCs/>
          <w:kern w:val="0"/>
          <w:sz w:val="30"/>
          <w:szCs w:val="30"/>
        </w:rPr>
        <w:t>1</w:t>
      </w:r>
    </w:p>
    <w:bookmarkEnd w:id="1"/>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jc w:val="center"/>
        <w:rPr>
          <w:b/>
          <w:sz w:val="52"/>
          <w:szCs w:val="52"/>
        </w:rPr>
      </w:pPr>
      <w:r>
        <w:rPr>
          <w:rFonts w:hint="eastAsia"/>
          <w:b/>
          <w:sz w:val="52"/>
          <w:szCs w:val="52"/>
        </w:rPr>
        <w:t>桥梁水中沉井基础施工技术规程</w:t>
      </w:r>
    </w:p>
    <w:p>
      <w:pPr>
        <w:ind w:firstLine="0" w:firstLineChars="0"/>
      </w:pPr>
    </w:p>
    <w:p>
      <w:pPr>
        <w:ind w:firstLine="0" w:firstLineChars="0"/>
      </w:pPr>
    </w:p>
    <w:p>
      <w:pPr>
        <w:ind w:firstLine="0" w:firstLineChars="0"/>
        <w:jc w:val="center"/>
        <w:rPr>
          <w:sz w:val="36"/>
          <w:szCs w:val="36"/>
        </w:rPr>
      </w:pPr>
      <w:r>
        <w:rPr>
          <w:b/>
          <w:sz w:val="36"/>
          <w:szCs w:val="36"/>
        </w:rPr>
        <w:t xml:space="preserve">Construction technical specification for open caisson foundation </w:t>
      </w:r>
      <w:r>
        <w:rPr>
          <w:rFonts w:hint="eastAsia"/>
          <w:b/>
          <w:sz w:val="36"/>
          <w:szCs w:val="36"/>
        </w:rPr>
        <w:t>of</w:t>
      </w:r>
      <w:r>
        <w:rPr>
          <w:b/>
          <w:sz w:val="36"/>
          <w:szCs w:val="36"/>
        </w:rPr>
        <w:t xml:space="preserve"> bridge in water</w:t>
      </w: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337820</wp:posOffset>
                </wp:positionV>
                <wp:extent cx="5220970" cy="0"/>
                <wp:effectExtent l="0" t="0" r="36830" b="19050"/>
                <wp:wrapNone/>
                <wp:docPr id="1" name="直接连接符 1"/>
                <wp:cNvGraphicFramePr/>
                <a:graphic xmlns:a="http://schemas.openxmlformats.org/drawingml/2006/main">
                  <a:graphicData uri="http://schemas.microsoft.com/office/word/2010/wordprocessingShape">
                    <wps:wsp>
                      <wps:cNvCnPr/>
                      <wps:spPr>
                        <a:xfrm>
                          <a:off x="0" y="0"/>
                          <a:ext cx="522097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85pt;margin-top:26.6pt;height:0pt;width:411.1pt;z-index:251659264;mso-width-relative:page;mso-height-relative:page;" filled="f" stroked="t" coordsize="21600,21600" o:gfxdata="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rCcuLVAAAABwEAAA8AAAAAAAAAAQAgAAAAIgAAAGRycy9kb3ducmV2LnhtbFBLAQIUABQAAAAI&#10;AIdO4kBxn3t+8AEAAOcDAAAOAAAAAAAAAAEAIAAAACQBAABkcnMvZTJvRG9jLnhtbFBLBQYAAAAA&#10;BgAGAFkBAACGBQAAAAA=&#10;">
                <v:fill on="f" focussize="0,0"/>
                <v:stroke weight="1pt" color="#000000" joinstyle="round"/>
                <v:imagedata o:title=""/>
                <o:lock v:ext="edit" aspectratio="f"/>
              </v:line>
            </w:pict>
          </mc:Fallback>
        </mc:AlternateContent>
      </w:r>
      <w:r>
        <w:rPr>
          <w:b/>
          <w:bCs/>
          <w:kern w:val="0"/>
          <w:sz w:val="30"/>
          <w:szCs w:val="30"/>
        </w:rPr>
        <w:t>20</w:t>
      </w:r>
      <w:r>
        <w:rPr>
          <w:rFonts w:hint="eastAsia"/>
          <w:b/>
          <w:bCs/>
          <w:kern w:val="0"/>
          <w:sz w:val="30"/>
          <w:szCs w:val="30"/>
        </w:rPr>
        <w:t>2</w:t>
      </w:r>
      <w:r>
        <w:rPr>
          <w:rFonts w:hint="eastAsia"/>
          <w:b/>
          <w:bCs/>
          <w:kern w:val="0"/>
          <w:sz w:val="30"/>
          <w:szCs w:val="30"/>
          <w:lang w:val="en-US" w:eastAsia="zh-CN"/>
        </w:rPr>
        <w:t>2</w:t>
      </w:r>
      <w:r>
        <w:rPr>
          <w:b/>
          <w:bCs/>
          <w:kern w:val="0"/>
          <w:sz w:val="30"/>
          <w:szCs w:val="30"/>
        </w:rPr>
        <w:t xml:space="preserve">-X-X </w:t>
      </w:r>
      <w:r>
        <w:rPr>
          <w:rFonts w:hint="eastAsia" w:ascii="宋体" w:cs="宋体"/>
          <w:kern w:val="0"/>
          <w:sz w:val="30"/>
          <w:szCs w:val="30"/>
        </w:rPr>
        <w:t xml:space="preserve">发布                       </w:t>
      </w:r>
      <w:r>
        <w:rPr>
          <w:rFonts w:ascii="宋体" w:cs="宋体"/>
          <w:kern w:val="0"/>
          <w:sz w:val="30"/>
          <w:szCs w:val="30"/>
        </w:rPr>
        <w:t xml:space="preserve">     </w:t>
      </w:r>
      <w:r>
        <w:rPr>
          <w:b/>
          <w:bCs/>
          <w:kern w:val="0"/>
          <w:sz w:val="30"/>
          <w:szCs w:val="30"/>
        </w:rPr>
        <w:t>20</w:t>
      </w:r>
      <w:r>
        <w:rPr>
          <w:rFonts w:hint="eastAsia"/>
          <w:b/>
          <w:bCs/>
          <w:kern w:val="0"/>
          <w:sz w:val="30"/>
          <w:szCs w:val="30"/>
        </w:rPr>
        <w:t>2</w:t>
      </w:r>
      <w:r>
        <w:rPr>
          <w:rFonts w:hint="eastAsia"/>
          <w:b/>
          <w:bCs/>
          <w:kern w:val="0"/>
          <w:sz w:val="30"/>
          <w:szCs w:val="30"/>
          <w:lang w:val="en-US" w:eastAsia="zh-CN"/>
        </w:rPr>
        <w:t>2</w:t>
      </w:r>
      <w:bookmarkStart w:id="497" w:name="_GoBack"/>
      <w:bookmarkEnd w:id="497"/>
      <w:r>
        <w:rPr>
          <w:b/>
          <w:bCs/>
          <w:kern w:val="0"/>
          <w:sz w:val="30"/>
          <w:szCs w:val="30"/>
        </w:rPr>
        <w:t xml:space="preserve">-X-X </w:t>
      </w:r>
      <w:r>
        <w:rPr>
          <w:rFonts w:hint="eastAsia" w:ascii="宋体" w:cs="宋体"/>
          <w:kern w:val="0"/>
          <w:sz w:val="30"/>
          <w:szCs w:val="30"/>
        </w:rPr>
        <w:t>实施</w:t>
      </w:r>
    </w:p>
    <w:p>
      <w:pPr>
        <w:ind w:firstLine="0" w:firstLineChars="0"/>
        <w:jc w:val="center"/>
        <w:rPr>
          <w:rFonts w:ascii="黑体" w:eastAsia="黑体"/>
          <w:sz w:val="32"/>
          <w:szCs w:val="32"/>
        </w:rPr>
      </w:pPr>
      <w:r>
        <w:rPr>
          <w:rFonts w:hint="eastAsia" w:ascii="黑体" w:eastAsia="黑体"/>
          <w:sz w:val="32"/>
          <w:szCs w:val="32"/>
        </w:rPr>
        <w:t>江苏省土木建筑学会    发布</w:t>
      </w:r>
    </w:p>
    <w:p>
      <w:pPr>
        <w:pStyle w:val="18"/>
        <w:ind w:firstLine="562"/>
        <w:jc w:val="center"/>
        <w:rPr>
          <w:b/>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pPr>
        <w:adjustRightInd w:val="0"/>
        <w:snapToGrid w:val="0"/>
        <w:spacing w:before="312" w:beforeLines="100" w:after="312" w:afterLines="100" w:line="400" w:lineRule="exact"/>
        <w:ind w:firstLine="0" w:firstLineChars="0"/>
        <w:jc w:val="center"/>
        <w:rPr>
          <w:rFonts w:eastAsia="黑体" w:cs="Times New Roman"/>
          <w:sz w:val="32"/>
          <w:szCs w:val="32"/>
        </w:rPr>
      </w:pPr>
      <w:r>
        <w:rPr>
          <w:rFonts w:hint="eastAsia" w:eastAsia="黑体" w:cs="Times New Roman"/>
          <w:sz w:val="32"/>
          <w:szCs w:val="32"/>
        </w:rPr>
        <w:t>前</w:t>
      </w:r>
      <w:r>
        <w:rPr>
          <w:rFonts w:eastAsia="黑体" w:cs="Times New Roman"/>
          <w:sz w:val="32"/>
          <w:szCs w:val="32"/>
        </w:rPr>
        <w:t xml:space="preserve">  </w:t>
      </w:r>
      <w:r>
        <w:rPr>
          <w:rFonts w:hint="eastAsia" w:eastAsia="黑体" w:cs="Times New Roman"/>
          <w:sz w:val="32"/>
          <w:szCs w:val="32"/>
        </w:rPr>
        <w:t>言</w:t>
      </w:r>
      <w:bookmarkEnd w:id="0"/>
    </w:p>
    <w:p>
      <w:pPr>
        <w:adjustRightInd w:val="0"/>
        <w:snapToGrid w:val="0"/>
        <w:spacing w:before="156" w:beforeLines="50" w:after="156" w:afterLines="50" w:line="400" w:lineRule="exact"/>
        <w:ind w:firstLine="480"/>
        <w:rPr>
          <w:rFonts w:cs="Times New Roman"/>
        </w:rPr>
      </w:pPr>
      <w:r>
        <w:rPr>
          <w:rFonts w:hint="eastAsia" w:cs="Times New Roman"/>
        </w:rPr>
        <w:t>本规程针对我国桥梁水中沉井基础施工技术的需求，编写单位充分总结了桥梁水中沉井基础施工相关的工程</w:t>
      </w:r>
      <w:r>
        <w:rPr>
          <w:rFonts w:cs="Times New Roman"/>
        </w:rPr>
        <w:t>实践</w:t>
      </w:r>
      <w:r>
        <w:rPr>
          <w:rFonts w:hint="eastAsia" w:cs="Times New Roman"/>
        </w:rPr>
        <w:t>，结合近年来我国水中沉井基础研究成果，通过调研和分析论证，提出符合桥梁水中沉井基础施工技术的要求，并广泛征求国内专家的意见，完成本规程的制定工作。</w:t>
      </w:r>
    </w:p>
    <w:p>
      <w:pPr>
        <w:adjustRightInd w:val="0"/>
        <w:snapToGrid w:val="0"/>
        <w:spacing w:before="156" w:beforeLines="50" w:after="156" w:afterLines="50" w:line="400" w:lineRule="exact"/>
        <w:ind w:firstLine="480"/>
        <w:rPr>
          <w:rFonts w:cs="Times New Roman"/>
        </w:rPr>
      </w:pPr>
      <w:r>
        <w:rPr>
          <w:rFonts w:hint="eastAsia" w:cs="Times New Roman"/>
        </w:rPr>
        <w:t>本技术规程共分6章，主要包括：1.总则；2.术语和符号；3.基本规定；4.计算与验算；5.水中沉井基础施工；6.施工监测与控制。</w:t>
      </w:r>
    </w:p>
    <w:p>
      <w:pPr>
        <w:adjustRightInd w:val="0"/>
        <w:snapToGrid w:val="0"/>
        <w:spacing w:before="156" w:beforeLines="50" w:after="156" w:afterLines="50" w:line="400" w:lineRule="exact"/>
        <w:ind w:firstLine="480"/>
        <w:rPr>
          <w:rFonts w:cs="Times New Roman"/>
        </w:rPr>
      </w:pPr>
      <w:r>
        <w:rPr>
          <w:rFonts w:hint="eastAsia" w:cs="Times New Roman"/>
        </w:rPr>
        <w:t>本规程由江苏省土木建筑学会负责管理，中交第二航务工程局有限公司负责解释。各单位在执行过程中如有修改意见或建议，请反馈至中交第二航务工程局有限公司（地址</w:t>
      </w:r>
      <w:r>
        <w:rPr>
          <w:rFonts w:cs="Times New Roman"/>
        </w:rPr>
        <w:t xml:space="preserve">: </w:t>
      </w:r>
      <w:r>
        <w:rPr>
          <w:rFonts w:hint="eastAsia" w:cs="Times New Roman"/>
        </w:rPr>
        <w:t>湖北省武汉市东西湖区金银湖路</w:t>
      </w:r>
      <w:r>
        <w:rPr>
          <w:rFonts w:cs="Times New Roman"/>
        </w:rPr>
        <w:t>11</w:t>
      </w:r>
      <w:r>
        <w:rPr>
          <w:rFonts w:hint="eastAsia" w:cs="Times New Roman"/>
        </w:rPr>
        <w:t>号；邮编</w:t>
      </w:r>
      <w:r>
        <w:rPr>
          <w:rFonts w:cs="Times New Roman"/>
        </w:rPr>
        <w:t>:430000</w:t>
      </w:r>
      <w:r>
        <w:rPr>
          <w:rFonts w:hint="eastAsia" w:cs="Times New Roman"/>
        </w:rPr>
        <w:t>；联系电话：</w:t>
      </w:r>
      <w:r>
        <w:rPr>
          <w:rFonts w:cs="Times New Roman"/>
        </w:rPr>
        <w:t>027-83920888</w:t>
      </w:r>
      <w:r>
        <w:rPr>
          <w:rFonts w:hint="eastAsia" w:cs="Times New Roman"/>
        </w:rPr>
        <w:t>）。</w:t>
      </w:r>
    </w:p>
    <w:tbl>
      <w:tblPr>
        <w:tblStyle w:val="2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38"/>
        <w:gridCol w:w="64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38" w:type="dxa"/>
          </w:tcPr>
          <w:p>
            <w:pPr>
              <w:adjustRightInd w:val="0"/>
              <w:snapToGrid w:val="0"/>
              <w:spacing w:before="156" w:beforeLines="50" w:after="156" w:afterLines="50" w:line="240" w:lineRule="auto"/>
              <w:ind w:firstLine="480"/>
              <w:rPr>
                <w:rFonts w:eastAsia="黑体" w:cs="Times New Roman"/>
                <w:szCs w:val="21"/>
              </w:rPr>
            </w:pPr>
            <w:r>
              <w:rPr>
                <w:rFonts w:hint="eastAsia" w:eastAsia="黑体" w:cs="Times New Roman"/>
                <w:szCs w:val="21"/>
              </w:rPr>
              <w:t>主编单位</w:t>
            </w:r>
            <w:r>
              <w:rPr>
                <w:rFonts w:eastAsia="黑体" w:cs="Times New Roman"/>
                <w:szCs w:val="21"/>
              </w:rPr>
              <w:t>:</w:t>
            </w:r>
          </w:p>
        </w:tc>
        <w:tc>
          <w:tcPr>
            <w:tcW w:w="6458" w:type="dxa"/>
          </w:tcPr>
          <w:p>
            <w:pPr>
              <w:adjustRightInd w:val="0"/>
              <w:snapToGrid w:val="0"/>
              <w:spacing w:before="156" w:beforeLines="50" w:after="156" w:afterLines="50" w:line="240" w:lineRule="auto"/>
              <w:ind w:firstLine="0" w:firstLineChars="0"/>
              <w:jc w:val="left"/>
              <w:rPr>
                <w:rFonts w:hint="eastAsia" w:cs="Times New Roman"/>
              </w:rPr>
            </w:pPr>
            <w:r>
              <w:rPr>
                <w:rFonts w:cs="Times New Roman"/>
              </w:rPr>
              <w:t>江苏省交通工程建设局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1838" w:type="dxa"/>
          </w:tcPr>
          <w:p>
            <w:pPr>
              <w:adjustRightInd w:val="0"/>
              <w:snapToGrid w:val="0"/>
              <w:spacing w:before="156" w:beforeLines="50" w:after="156" w:afterLines="50" w:line="240" w:lineRule="auto"/>
              <w:ind w:firstLine="0" w:firstLineChars="0"/>
              <w:rPr>
                <w:rFonts w:eastAsia="黑体" w:cs="Times New Roman"/>
                <w:szCs w:val="21"/>
              </w:rPr>
            </w:pPr>
          </w:p>
        </w:tc>
        <w:tc>
          <w:tcPr>
            <w:tcW w:w="6458" w:type="dxa"/>
          </w:tcPr>
          <w:p>
            <w:pPr>
              <w:adjustRightInd w:val="0"/>
              <w:snapToGrid w:val="0"/>
              <w:spacing w:before="156" w:beforeLines="50" w:after="156" w:afterLines="50" w:line="240" w:lineRule="auto"/>
              <w:ind w:firstLine="0" w:firstLineChars="0"/>
              <w:jc w:val="left"/>
              <w:rPr>
                <w:rFonts w:eastAsia="黑体" w:cs="Times New Roman"/>
                <w:szCs w:val="21"/>
              </w:rPr>
            </w:pPr>
            <w:r>
              <w:rPr>
                <w:rFonts w:hint="eastAsia" w:cs="Times New Roman"/>
              </w:rPr>
              <w:t>中交第二航务工程局有限公司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38" w:type="dxa"/>
          </w:tcPr>
          <w:p>
            <w:pPr>
              <w:adjustRightInd w:val="0"/>
              <w:snapToGrid w:val="0"/>
              <w:spacing w:before="156" w:beforeLines="50" w:after="156" w:afterLines="50" w:line="240" w:lineRule="auto"/>
              <w:ind w:firstLine="480"/>
              <w:rPr>
                <w:rFonts w:eastAsia="黑体" w:cs="Times New Roman"/>
                <w:szCs w:val="21"/>
              </w:rPr>
            </w:pPr>
            <w:r>
              <w:rPr>
                <w:rFonts w:hint="eastAsia" w:eastAsia="黑体" w:cs="Times New Roman"/>
                <w:szCs w:val="21"/>
              </w:rPr>
              <w:t>参编单位</w:t>
            </w:r>
            <w:r>
              <w:rPr>
                <w:rFonts w:eastAsia="黑体" w:cs="Times New Roman"/>
                <w:szCs w:val="21"/>
              </w:rPr>
              <w:t>:</w:t>
            </w:r>
          </w:p>
        </w:tc>
        <w:tc>
          <w:tcPr>
            <w:tcW w:w="6458" w:type="dxa"/>
          </w:tcPr>
          <w:p>
            <w:pPr>
              <w:adjustRightInd w:val="0"/>
              <w:snapToGrid w:val="0"/>
              <w:spacing w:before="156" w:beforeLines="50" w:after="156" w:afterLines="50" w:line="240" w:lineRule="auto"/>
              <w:ind w:firstLine="0" w:firstLineChars="0"/>
              <w:rPr>
                <w:rFonts w:hint="eastAsia" w:cs="Times New Roman"/>
              </w:rPr>
            </w:pPr>
            <w:r>
              <w:rPr>
                <w:rFonts w:hint="eastAsia" w:cs="Times New Roman"/>
              </w:rPr>
              <w:t>中交二航局第四工程有限公司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38" w:type="dxa"/>
          </w:tcPr>
          <w:p>
            <w:pPr>
              <w:adjustRightInd w:val="0"/>
              <w:snapToGrid w:val="0"/>
              <w:spacing w:before="156" w:beforeLines="50" w:after="156" w:afterLines="50" w:line="240" w:lineRule="auto"/>
              <w:ind w:firstLine="0" w:firstLineChars="0"/>
              <w:rPr>
                <w:rFonts w:eastAsia="黑体" w:cs="Times New Roman"/>
                <w:szCs w:val="21"/>
              </w:rPr>
            </w:pPr>
          </w:p>
        </w:tc>
        <w:tc>
          <w:tcPr>
            <w:tcW w:w="6458" w:type="dxa"/>
          </w:tcPr>
          <w:p>
            <w:pPr>
              <w:adjustRightInd w:val="0"/>
              <w:snapToGrid w:val="0"/>
              <w:spacing w:before="156" w:beforeLines="50" w:after="156" w:afterLines="50" w:line="240" w:lineRule="auto"/>
              <w:ind w:firstLine="0" w:firstLineChars="0"/>
              <w:jc w:val="left"/>
              <w:rPr>
                <w:rFonts w:hint="eastAsia" w:cs="Times New Roman"/>
              </w:rPr>
            </w:pPr>
            <w:r>
              <w:rPr>
                <w:rFonts w:hint="eastAsia" w:cs="Times New Roman"/>
              </w:rPr>
              <w:t>中交公路长大桥建设国家工程研究中心有限公司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38" w:type="dxa"/>
          </w:tcPr>
          <w:p>
            <w:pPr>
              <w:adjustRightInd w:val="0"/>
              <w:snapToGrid w:val="0"/>
              <w:spacing w:before="156" w:beforeLines="50" w:after="156" w:afterLines="50" w:line="240" w:lineRule="auto"/>
              <w:ind w:firstLine="0" w:firstLineChars="0"/>
              <w:rPr>
                <w:rFonts w:eastAsia="黑体" w:cs="Times New Roman"/>
                <w:szCs w:val="21"/>
              </w:rPr>
            </w:pPr>
          </w:p>
        </w:tc>
        <w:tc>
          <w:tcPr>
            <w:tcW w:w="6458" w:type="dxa"/>
          </w:tcPr>
          <w:p>
            <w:pPr>
              <w:adjustRightInd w:val="0"/>
              <w:snapToGrid w:val="0"/>
              <w:spacing w:before="156" w:beforeLines="50" w:after="156" w:afterLines="50" w:line="240" w:lineRule="auto"/>
              <w:ind w:firstLine="0" w:firstLineChars="0"/>
              <w:rPr>
                <w:rFonts w:hint="eastAsia" w:cs="Times New Roman"/>
              </w:rPr>
            </w:pPr>
            <w:r>
              <w:rPr>
                <w:rFonts w:hint="eastAsia" w:cs="Times New Roman"/>
              </w:rPr>
              <w:t>中铁桥隧技术有限公司</w:t>
            </w:r>
          </w:p>
        </w:tc>
      </w:tr>
    </w:tbl>
    <w:p>
      <w:pPr>
        <w:adjustRightInd w:val="0"/>
        <w:snapToGrid w:val="0"/>
        <w:spacing w:before="156" w:beforeLines="50" w:after="156" w:afterLines="50" w:line="400" w:lineRule="exact"/>
        <w:ind w:firstLine="480"/>
        <w:rPr>
          <w:rFonts w:cs="Times New Roman"/>
        </w:rPr>
      </w:pPr>
      <w:r>
        <w:rPr>
          <w:rFonts w:hint="eastAsia" w:eastAsia="黑体" w:cs="Times New Roman"/>
          <w:szCs w:val="21"/>
        </w:rPr>
        <w:t>主要起草人：</w:t>
      </w:r>
      <w:r>
        <w:rPr>
          <w:rFonts w:hint="eastAsia" w:cs="Times New Roman"/>
        </w:rPr>
        <w:t>蒋振雄、张鸿、李镇、黄健、张永涛、罗承斌、吴启和、陈鸣、王强、夏鹏飞、赵东梁、郑海涛、陈建荣、尹东亚、朱</w:t>
      </w:r>
      <w:r>
        <w:rPr>
          <w:rFonts w:cs="Times New Roman"/>
        </w:rPr>
        <w:t>浩</w:t>
      </w:r>
      <w:r>
        <w:rPr>
          <w:rFonts w:hint="eastAsia" w:cs="Times New Roman"/>
        </w:rPr>
        <w:t>、陆荣伟、张</w:t>
      </w:r>
      <w:r>
        <w:rPr>
          <w:rFonts w:cs="Times New Roman"/>
        </w:rPr>
        <w:t>磊</w:t>
      </w:r>
      <w:r>
        <w:rPr>
          <w:rFonts w:hint="eastAsia" w:cs="Times New Roman"/>
        </w:rPr>
        <w:t>、孙发明、李德杰、韩鹏鹏、李嘉成、仇正中、刘修成、</w:t>
      </w:r>
      <w:r>
        <w:rPr>
          <w:rFonts w:cs="Times New Roman"/>
        </w:rPr>
        <w:t>管政霖</w:t>
      </w:r>
      <w:r>
        <w:rPr>
          <w:rFonts w:hint="eastAsia" w:cs="Times New Roman"/>
        </w:rPr>
        <w:t>、唐震</w:t>
      </w:r>
    </w:p>
    <w:p>
      <w:pPr>
        <w:adjustRightInd w:val="0"/>
        <w:snapToGrid w:val="0"/>
        <w:spacing w:before="156" w:beforeLines="50" w:after="156" w:afterLines="50" w:line="400" w:lineRule="exact"/>
        <w:ind w:firstLine="480"/>
        <w:rPr>
          <w:rFonts w:cs="Times New Roman"/>
        </w:rPr>
      </w:pPr>
      <w:r>
        <w:rPr>
          <w:rFonts w:hint="eastAsia" w:eastAsia="黑体" w:cs="Times New Roman"/>
          <w:szCs w:val="21"/>
        </w:rPr>
        <w:t>主要审查人：</w:t>
      </w:r>
    </w:p>
    <w:p>
      <w:pPr>
        <w:adjustRightInd w:val="0"/>
        <w:snapToGrid w:val="0"/>
        <w:spacing w:before="156" w:beforeLines="50" w:after="156" w:afterLines="50" w:line="400" w:lineRule="exact"/>
        <w:ind w:firstLine="482"/>
        <w:rPr>
          <w:rFonts w:eastAsia="宋体" w:cs="Times New Roman"/>
          <w:b/>
          <w:szCs w:val="24"/>
        </w:rPr>
      </w:pPr>
      <w:r>
        <w:rPr>
          <w:rFonts w:eastAsia="宋体" w:cs="Times New Roman"/>
          <w:b/>
          <w:szCs w:val="24"/>
        </w:rPr>
        <w:br w:type="page"/>
      </w:r>
    </w:p>
    <w:p>
      <w:pPr>
        <w:pStyle w:val="54"/>
        <w:ind w:firstLine="0" w:firstLineChars="0"/>
        <w:jc w:val="center"/>
        <w:rPr>
          <w:b/>
          <w:bCs/>
        </w:rPr>
      </w:pPr>
      <w:bookmarkStart w:id="2" w:name="_Toc48665548"/>
      <w:r>
        <w:rPr>
          <w:rFonts w:hint="eastAsia"/>
          <w:b/>
          <w:bCs/>
        </w:rPr>
        <w:t>目</w:t>
      </w:r>
      <w:r>
        <w:rPr>
          <w:b/>
          <w:bCs/>
        </w:rPr>
        <w:t xml:space="preserve">  </w:t>
      </w:r>
      <w:r>
        <w:rPr>
          <w:rFonts w:hint="eastAsia"/>
          <w:b/>
          <w:bCs/>
        </w:rPr>
        <w:t>次</w:t>
      </w:r>
      <w:bookmarkEnd w:id="2"/>
    </w:p>
    <w:sdt>
      <w:sdtPr>
        <w:rPr>
          <w:rFonts w:cs="Times New Roman"/>
          <w:kern w:val="2"/>
          <w:sz w:val="24"/>
          <w:lang w:val="zh-CN"/>
        </w:rPr>
        <w:id w:val="-1449394628"/>
        <w:docPartObj>
          <w:docPartGallery w:val="Table of Contents"/>
          <w:docPartUnique/>
        </w:docPartObj>
      </w:sdtPr>
      <w:sdtEndPr>
        <w:rPr>
          <w:rFonts w:cs="Times New Roman"/>
          <w:b/>
          <w:bCs/>
          <w:kern w:val="0"/>
          <w:sz w:val="22"/>
          <w:lang w:val="zh-CN"/>
        </w:rPr>
      </w:sdtEndPr>
      <w:sdtContent>
        <w:p>
          <w:pPr>
            <w:pStyle w:val="18"/>
            <w:ind w:firstLine="480"/>
            <w:rPr>
              <w:rFonts w:asciiTheme="minorHAnsi" w:hAnsiTheme="minorHAnsi"/>
              <w:kern w:val="2"/>
              <w:sz w:val="21"/>
            </w:rPr>
          </w:pPr>
          <w:r>
            <w:rPr>
              <w:rFonts w:cs="Times New Roman"/>
            </w:rPr>
            <w:fldChar w:fldCharType="begin"/>
          </w:r>
          <w:r>
            <w:rPr>
              <w:rFonts w:cs="Times New Roman"/>
            </w:rPr>
            <w:instrText xml:space="preserve"> TOC \o "1-2" \h \z \u </w:instrText>
          </w:r>
          <w:r>
            <w:rPr>
              <w:rFonts w:cs="Times New Roman"/>
            </w:rPr>
            <w:fldChar w:fldCharType="separate"/>
          </w:r>
          <w:r>
            <w:fldChar w:fldCharType="begin"/>
          </w:r>
          <w:r>
            <w:instrText xml:space="preserve"> HYPERLINK \l "_Toc112317313" </w:instrText>
          </w:r>
          <w:r>
            <w:fldChar w:fldCharType="separate"/>
          </w:r>
          <w:r>
            <w:rPr>
              <w:rStyle w:val="32"/>
              <w:b/>
            </w:rPr>
            <w:t>1</w:t>
          </w:r>
          <w:r>
            <w:rPr>
              <w:rStyle w:val="32"/>
              <w:rFonts w:hint="eastAsia"/>
            </w:rPr>
            <w:t xml:space="preserve"> 总则</w:t>
          </w:r>
          <w:r>
            <w:tab/>
          </w:r>
          <w:r>
            <w:fldChar w:fldCharType="begin"/>
          </w:r>
          <w:r>
            <w:instrText xml:space="preserve"> PAGEREF _Toc112317313 \h </w:instrText>
          </w:r>
          <w:r>
            <w:fldChar w:fldCharType="separate"/>
          </w:r>
          <w:r>
            <w:t>1</w:t>
          </w:r>
          <w:r>
            <w:fldChar w:fldCharType="end"/>
          </w:r>
          <w:r>
            <w:fldChar w:fldCharType="end"/>
          </w:r>
        </w:p>
        <w:p>
          <w:pPr>
            <w:pStyle w:val="18"/>
            <w:ind w:firstLine="440"/>
            <w:rPr>
              <w:rFonts w:asciiTheme="minorHAnsi" w:hAnsiTheme="minorHAnsi"/>
              <w:kern w:val="2"/>
              <w:sz w:val="21"/>
            </w:rPr>
          </w:pPr>
          <w:r>
            <w:fldChar w:fldCharType="begin"/>
          </w:r>
          <w:r>
            <w:instrText xml:space="preserve"> HYPERLINK \l "_Toc112317314" </w:instrText>
          </w:r>
          <w:r>
            <w:fldChar w:fldCharType="separate"/>
          </w:r>
          <w:r>
            <w:rPr>
              <w:rStyle w:val="32"/>
              <w:b/>
            </w:rPr>
            <w:t>2</w:t>
          </w:r>
          <w:r>
            <w:rPr>
              <w:rStyle w:val="32"/>
              <w:rFonts w:hint="eastAsia"/>
            </w:rPr>
            <w:t xml:space="preserve"> 术语和符号</w:t>
          </w:r>
          <w:r>
            <w:tab/>
          </w:r>
          <w:r>
            <w:fldChar w:fldCharType="begin"/>
          </w:r>
          <w:r>
            <w:instrText xml:space="preserve"> PAGEREF _Toc112317314 \h </w:instrText>
          </w:r>
          <w:r>
            <w:fldChar w:fldCharType="separate"/>
          </w:r>
          <w:r>
            <w:t>2</w:t>
          </w:r>
          <w:r>
            <w:fldChar w:fldCharType="end"/>
          </w:r>
          <w:r>
            <w:fldChar w:fldCharType="end"/>
          </w:r>
        </w:p>
        <w:p>
          <w:pPr>
            <w:pStyle w:val="22"/>
            <w:tabs>
              <w:tab w:val="right" w:leader="dot" w:pos="8296"/>
            </w:tabs>
            <w:ind w:firstLine="440"/>
            <w:rPr>
              <w:rFonts w:asciiTheme="minorHAnsi" w:hAnsiTheme="minorHAnsi"/>
              <w:kern w:val="2"/>
              <w:sz w:val="21"/>
            </w:rPr>
          </w:pPr>
          <w:r>
            <w:fldChar w:fldCharType="begin"/>
          </w:r>
          <w:r>
            <w:instrText xml:space="preserve"> HYPERLINK \l "_Toc112317315" </w:instrText>
          </w:r>
          <w:r>
            <w:fldChar w:fldCharType="separate"/>
          </w:r>
          <w:r>
            <w:rPr>
              <w:rStyle w:val="32"/>
            </w:rPr>
            <w:t>2.1</w:t>
          </w:r>
          <w:r>
            <w:rPr>
              <w:rStyle w:val="32"/>
              <w:rFonts w:hint="eastAsia"/>
            </w:rPr>
            <w:t xml:space="preserve"> 术语</w:t>
          </w:r>
          <w:r>
            <w:tab/>
          </w:r>
          <w:r>
            <w:fldChar w:fldCharType="begin"/>
          </w:r>
          <w:r>
            <w:instrText xml:space="preserve"> PAGEREF _Toc112317315 \h </w:instrText>
          </w:r>
          <w:r>
            <w:fldChar w:fldCharType="separate"/>
          </w:r>
          <w:r>
            <w:t>2</w:t>
          </w:r>
          <w:r>
            <w:fldChar w:fldCharType="end"/>
          </w:r>
          <w:r>
            <w:fldChar w:fldCharType="end"/>
          </w:r>
        </w:p>
        <w:p>
          <w:pPr>
            <w:pStyle w:val="22"/>
            <w:tabs>
              <w:tab w:val="right" w:leader="dot" w:pos="8296"/>
            </w:tabs>
            <w:ind w:firstLine="440"/>
            <w:rPr>
              <w:rFonts w:asciiTheme="minorHAnsi" w:hAnsiTheme="minorHAnsi"/>
              <w:kern w:val="2"/>
              <w:sz w:val="21"/>
            </w:rPr>
          </w:pPr>
          <w:r>
            <w:fldChar w:fldCharType="begin"/>
          </w:r>
          <w:r>
            <w:instrText xml:space="preserve"> HYPERLINK \l "_Toc112317316" </w:instrText>
          </w:r>
          <w:r>
            <w:fldChar w:fldCharType="separate"/>
          </w:r>
          <w:r>
            <w:rPr>
              <w:rStyle w:val="32"/>
            </w:rPr>
            <w:t>2.2</w:t>
          </w:r>
          <w:r>
            <w:rPr>
              <w:rStyle w:val="32"/>
              <w:rFonts w:hint="eastAsia"/>
            </w:rPr>
            <w:t xml:space="preserve"> 符号</w:t>
          </w:r>
          <w:r>
            <w:tab/>
          </w:r>
          <w:r>
            <w:fldChar w:fldCharType="begin"/>
          </w:r>
          <w:r>
            <w:instrText xml:space="preserve"> PAGEREF _Toc112317316 \h </w:instrText>
          </w:r>
          <w:r>
            <w:fldChar w:fldCharType="separate"/>
          </w:r>
          <w:r>
            <w:t>3</w:t>
          </w:r>
          <w:r>
            <w:fldChar w:fldCharType="end"/>
          </w:r>
          <w:r>
            <w:fldChar w:fldCharType="end"/>
          </w:r>
        </w:p>
        <w:p>
          <w:pPr>
            <w:pStyle w:val="18"/>
            <w:ind w:firstLine="440"/>
            <w:rPr>
              <w:rFonts w:asciiTheme="minorHAnsi" w:hAnsiTheme="minorHAnsi"/>
              <w:kern w:val="2"/>
              <w:sz w:val="21"/>
            </w:rPr>
          </w:pPr>
          <w:r>
            <w:fldChar w:fldCharType="begin"/>
          </w:r>
          <w:r>
            <w:instrText xml:space="preserve"> HYPERLINK \l "_Toc112317317" </w:instrText>
          </w:r>
          <w:r>
            <w:fldChar w:fldCharType="separate"/>
          </w:r>
          <w:r>
            <w:rPr>
              <w:rStyle w:val="32"/>
              <w:b/>
            </w:rPr>
            <w:t>3</w:t>
          </w:r>
          <w:r>
            <w:rPr>
              <w:rStyle w:val="32"/>
              <w:rFonts w:hint="eastAsia"/>
            </w:rPr>
            <w:t xml:space="preserve"> 基本规定</w:t>
          </w:r>
          <w:r>
            <w:tab/>
          </w:r>
          <w:r>
            <w:fldChar w:fldCharType="begin"/>
          </w:r>
          <w:r>
            <w:instrText xml:space="preserve"> PAGEREF _Toc112317317 \h </w:instrText>
          </w:r>
          <w:r>
            <w:fldChar w:fldCharType="separate"/>
          </w:r>
          <w:r>
            <w:t>5</w:t>
          </w:r>
          <w:r>
            <w:fldChar w:fldCharType="end"/>
          </w:r>
          <w:r>
            <w:fldChar w:fldCharType="end"/>
          </w:r>
        </w:p>
        <w:p>
          <w:pPr>
            <w:pStyle w:val="18"/>
            <w:ind w:firstLine="440"/>
            <w:rPr>
              <w:rFonts w:asciiTheme="minorHAnsi" w:hAnsiTheme="minorHAnsi"/>
              <w:kern w:val="2"/>
              <w:sz w:val="21"/>
            </w:rPr>
          </w:pPr>
          <w:r>
            <w:fldChar w:fldCharType="begin"/>
          </w:r>
          <w:r>
            <w:instrText xml:space="preserve"> HYPERLINK \l "_Toc112317318" </w:instrText>
          </w:r>
          <w:r>
            <w:fldChar w:fldCharType="separate"/>
          </w:r>
          <w:r>
            <w:rPr>
              <w:rStyle w:val="32"/>
              <w:b/>
            </w:rPr>
            <w:t>4</w:t>
          </w:r>
          <w:r>
            <w:rPr>
              <w:rStyle w:val="32"/>
              <w:rFonts w:hint="eastAsia"/>
            </w:rPr>
            <w:t xml:space="preserve"> 计算与验算</w:t>
          </w:r>
          <w:r>
            <w:tab/>
          </w:r>
          <w:r>
            <w:fldChar w:fldCharType="begin"/>
          </w:r>
          <w:r>
            <w:instrText xml:space="preserve"> PAGEREF _Toc112317318 \h </w:instrText>
          </w:r>
          <w:r>
            <w:fldChar w:fldCharType="separate"/>
          </w:r>
          <w:r>
            <w:t>6</w:t>
          </w:r>
          <w:r>
            <w:fldChar w:fldCharType="end"/>
          </w:r>
          <w:r>
            <w:fldChar w:fldCharType="end"/>
          </w:r>
        </w:p>
        <w:p>
          <w:pPr>
            <w:pStyle w:val="22"/>
            <w:tabs>
              <w:tab w:val="right" w:leader="dot" w:pos="8296"/>
            </w:tabs>
            <w:ind w:firstLine="440"/>
            <w:rPr>
              <w:rFonts w:asciiTheme="minorHAnsi" w:hAnsiTheme="minorHAnsi"/>
              <w:kern w:val="2"/>
              <w:sz w:val="21"/>
            </w:rPr>
          </w:pPr>
          <w:r>
            <w:fldChar w:fldCharType="begin"/>
          </w:r>
          <w:r>
            <w:instrText xml:space="preserve"> HYPERLINK \l "_Toc112317319" </w:instrText>
          </w:r>
          <w:r>
            <w:fldChar w:fldCharType="separate"/>
          </w:r>
          <w:r>
            <w:rPr>
              <w:rStyle w:val="32"/>
            </w:rPr>
            <w:t>4.1</w:t>
          </w:r>
          <w:r>
            <w:rPr>
              <w:rStyle w:val="32"/>
              <w:rFonts w:hint="eastAsia"/>
            </w:rPr>
            <w:t xml:space="preserve"> 一般规定</w:t>
          </w:r>
          <w:r>
            <w:tab/>
          </w:r>
          <w:r>
            <w:fldChar w:fldCharType="begin"/>
          </w:r>
          <w:r>
            <w:instrText xml:space="preserve"> PAGEREF _Toc112317319 \h </w:instrText>
          </w:r>
          <w:r>
            <w:fldChar w:fldCharType="separate"/>
          </w:r>
          <w:r>
            <w:t>6</w:t>
          </w:r>
          <w:r>
            <w:fldChar w:fldCharType="end"/>
          </w:r>
          <w:r>
            <w:fldChar w:fldCharType="end"/>
          </w:r>
        </w:p>
        <w:p>
          <w:pPr>
            <w:pStyle w:val="22"/>
            <w:tabs>
              <w:tab w:val="right" w:leader="dot" w:pos="8296"/>
            </w:tabs>
            <w:ind w:firstLine="440"/>
            <w:rPr>
              <w:rFonts w:asciiTheme="minorHAnsi" w:hAnsiTheme="minorHAnsi"/>
              <w:kern w:val="2"/>
              <w:sz w:val="21"/>
            </w:rPr>
          </w:pPr>
          <w:r>
            <w:fldChar w:fldCharType="begin"/>
          </w:r>
          <w:r>
            <w:instrText xml:space="preserve"> HYPERLINK \l "_Toc112317320" </w:instrText>
          </w:r>
          <w:r>
            <w:fldChar w:fldCharType="separate"/>
          </w:r>
          <w:r>
            <w:rPr>
              <w:rStyle w:val="32"/>
            </w:rPr>
            <w:t>4.2</w:t>
          </w:r>
          <w:r>
            <w:rPr>
              <w:rStyle w:val="32"/>
              <w:rFonts w:hint="eastAsia"/>
            </w:rPr>
            <w:t xml:space="preserve"> 浮运及定位计算</w:t>
          </w:r>
          <w:r>
            <w:tab/>
          </w:r>
          <w:r>
            <w:fldChar w:fldCharType="begin"/>
          </w:r>
          <w:r>
            <w:instrText xml:space="preserve"> PAGEREF _Toc112317320 \h </w:instrText>
          </w:r>
          <w:r>
            <w:fldChar w:fldCharType="separate"/>
          </w:r>
          <w:r>
            <w:t>6</w:t>
          </w:r>
          <w:r>
            <w:fldChar w:fldCharType="end"/>
          </w:r>
          <w:r>
            <w:fldChar w:fldCharType="end"/>
          </w:r>
        </w:p>
        <w:p>
          <w:pPr>
            <w:pStyle w:val="22"/>
            <w:tabs>
              <w:tab w:val="right" w:leader="dot" w:pos="8296"/>
            </w:tabs>
            <w:ind w:firstLine="440"/>
            <w:rPr>
              <w:rFonts w:asciiTheme="minorHAnsi" w:hAnsiTheme="minorHAnsi"/>
              <w:kern w:val="2"/>
              <w:sz w:val="21"/>
            </w:rPr>
          </w:pPr>
          <w:r>
            <w:fldChar w:fldCharType="begin"/>
          </w:r>
          <w:r>
            <w:instrText xml:space="preserve"> HYPERLINK \l "_Toc112317321" </w:instrText>
          </w:r>
          <w:r>
            <w:fldChar w:fldCharType="separate"/>
          </w:r>
          <w:r>
            <w:rPr>
              <w:rStyle w:val="32"/>
            </w:rPr>
            <w:t>4.3</w:t>
          </w:r>
          <w:r>
            <w:rPr>
              <w:rStyle w:val="32"/>
              <w:rFonts w:hint="eastAsia"/>
            </w:rPr>
            <w:t xml:space="preserve"> 沉井下沉计算</w:t>
          </w:r>
          <w:r>
            <w:tab/>
          </w:r>
          <w:r>
            <w:fldChar w:fldCharType="begin"/>
          </w:r>
          <w:r>
            <w:instrText xml:space="preserve"> PAGEREF _Toc112317321 \h </w:instrText>
          </w:r>
          <w:r>
            <w:fldChar w:fldCharType="separate"/>
          </w:r>
          <w:r>
            <w:t>8</w:t>
          </w:r>
          <w:r>
            <w:fldChar w:fldCharType="end"/>
          </w:r>
          <w:r>
            <w:fldChar w:fldCharType="end"/>
          </w:r>
        </w:p>
        <w:p>
          <w:pPr>
            <w:pStyle w:val="22"/>
            <w:tabs>
              <w:tab w:val="right" w:leader="dot" w:pos="8296"/>
            </w:tabs>
            <w:ind w:firstLine="440"/>
            <w:rPr>
              <w:rFonts w:asciiTheme="minorHAnsi" w:hAnsiTheme="minorHAnsi"/>
              <w:kern w:val="2"/>
              <w:sz w:val="21"/>
            </w:rPr>
          </w:pPr>
          <w:r>
            <w:fldChar w:fldCharType="begin"/>
          </w:r>
          <w:r>
            <w:instrText xml:space="preserve"> HYPERLINK \l "_Toc112317322" </w:instrText>
          </w:r>
          <w:r>
            <w:fldChar w:fldCharType="separate"/>
          </w:r>
          <w:r>
            <w:rPr>
              <w:rStyle w:val="32"/>
            </w:rPr>
            <w:t>4.4</w:t>
          </w:r>
          <w:r>
            <w:rPr>
              <w:rStyle w:val="32"/>
              <w:rFonts w:hint="eastAsia"/>
            </w:rPr>
            <w:t xml:space="preserve"> 沉井结构受力验算</w:t>
          </w:r>
          <w:r>
            <w:tab/>
          </w:r>
          <w:r>
            <w:fldChar w:fldCharType="begin"/>
          </w:r>
          <w:r>
            <w:instrText xml:space="preserve"> PAGEREF _Toc112317322 \h </w:instrText>
          </w:r>
          <w:r>
            <w:fldChar w:fldCharType="separate"/>
          </w:r>
          <w:r>
            <w:t>10</w:t>
          </w:r>
          <w:r>
            <w:fldChar w:fldCharType="end"/>
          </w:r>
          <w:r>
            <w:fldChar w:fldCharType="end"/>
          </w:r>
        </w:p>
        <w:p>
          <w:pPr>
            <w:pStyle w:val="22"/>
            <w:tabs>
              <w:tab w:val="right" w:leader="dot" w:pos="8296"/>
            </w:tabs>
            <w:ind w:firstLine="440"/>
            <w:rPr>
              <w:rFonts w:asciiTheme="minorHAnsi" w:hAnsiTheme="minorHAnsi"/>
              <w:kern w:val="2"/>
              <w:sz w:val="21"/>
            </w:rPr>
          </w:pPr>
          <w:r>
            <w:fldChar w:fldCharType="begin"/>
          </w:r>
          <w:r>
            <w:instrText xml:space="preserve"> HYPERLINK \l "_Toc112317323" </w:instrText>
          </w:r>
          <w:r>
            <w:fldChar w:fldCharType="separate"/>
          </w:r>
          <w:r>
            <w:rPr>
              <w:rStyle w:val="32"/>
            </w:rPr>
            <w:t>4.5</w:t>
          </w:r>
          <w:r>
            <w:rPr>
              <w:rStyle w:val="32"/>
              <w:rFonts w:hint="eastAsia"/>
            </w:rPr>
            <w:t xml:space="preserve"> 混凝土浇筑计算</w:t>
          </w:r>
          <w:r>
            <w:tab/>
          </w:r>
          <w:r>
            <w:fldChar w:fldCharType="begin"/>
          </w:r>
          <w:r>
            <w:instrText xml:space="preserve"> PAGEREF _Toc112317323 \h </w:instrText>
          </w:r>
          <w:r>
            <w:fldChar w:fldCharType="separate"/>
          </w:r>
          <w:r>
            <w:t>11</w:t>
          </w:r>
          <w:r>
            <w:fldChar w:fldCharType="end"/>
          </w:r>
          <w:r>
            <w:fldChar w:fldCharType="end"/>
          </w:r>
        </w:p>
        <w:p>
          <w:pPr>
            <w:pStyle w:val="22"/>
            <w:tabs>
              <w:tab w:val="right" w:leader="dot" w:pos="8296"/>
            </w:tabs>
            <w:ind w:firstLine="440"/>
            <w:rPr>
              <w:rFonts w:asciiTheme="minorHAnsi" w:hAnsiTheme="minorHAnsi"/>
              <w:kern w:val="2"/>
              <w:sz w:val="21"/>
            </w:rPr>
          </w:pPr>
          <w:r>
            <w:fldChar w:fldCharType="begin"/>
          </w:r>
          <w:r>
            <w:instrText xml:space="preserve"> HYPERLINK \l "_Toc112317324" </w:instrText>
          </w:r>
          <w:r>
            <w:fldChar w:fldCharType="separate"/>
          </w:r>
          <w:r>
            <w:rPr>
              <w:rStyle w:val="32"/>
            </w:rPr>
            <w:t>4.6</w:t>
          </w:r>
          <w:r>
            <w:rPr>
              <w:rStyle w:val="32"/>
              <w:rFonts w:hint="eastAsia"/>
            </w:rPr>
            <w:t xml:space="preserve"> 吸泥设备选型</w:t>
          </w:r>
          <w:r>
            <w:tab/>
          </w:r>
          <w:r>
            <w:fldChar w:fldCharType="begin"/>
          </w:r>
          <w:r>
            <w:instrText xml:space="preserve"> PAGEREF _Toc112317324 \h </w:instrText>
          </w:r>
          <w:r>
            <w:fldChar w:fldCharType="separate"/>
          </w:r>
          <w:r>
            <w:t>13</w:t>
          </w:r>
          <w:r>
            <w:fldChar w:fldCharType="end"/>
          </w:r>
          <w:r>
            <w:fldChar w:fldCharType="end"/>
          </w:r>
        </w:p>
        <w:p>
          <w:pPr>
            <w:pStyle w:val="18"/>
            <w:ind w:firstLine="440"/>
            <w:rPr>
              <w:rFonts w:asciiTheme="minorHAnsi" w:hAnsiTheme="minorHAnsi"/>
              <w:kern w:val="2"/>
              <w:sz w:val="21"/>
            </w:rPr>
          </w:pPr>
          <w:r>
            <w:fldChar w:fldCharType="begin"/>
          </w:r>
          <w:r>
            <w:instrText xml:space="preserve"> HYPERLINK \l "_Toc112317325" </w:instrText>
          </w:r>
          <w:r>
            <w:fldChar w:fldCharType="separate"/>
          </w:r>
          <w:r>
            <w:rPr>
              <w:rStyle w:val="32"/>
              <w:b/>
            </w:rPr>
            <w:t>5</w:t>
          </w:r>
          <w:r>
            <w:rPr>
              <w:rStyle w:val="32"/>
              <w:rFonts w:hint="eastAsia"/>
            </w:rPr>
            <w:t xml:space="preserve"> 水中沉井基础施工</w:t>
          </w:r>
          <w:r>
            <w:tab/>
          </w:r>
          <w:r>
            <w:fldChar w:fldCharType="begin"/>
          </w:r>
          <w:r>
            <w:instrText xml:space="preserve"> PAGEREF _Toc112317325 \h </w:instrText>
          </w:r>
          <w:r>
            <w:fldChar w:fldCharType="separate"/>
          </w:r>
          <w:r>
            <w:t>17</w:t>
          </w:r>
          <w:r>
            <w:fldChar w:fldCharType="end"/>
          </w:r>
          <w:r>
            <w:fldChar w:fldCharType="end"/>
          </w:r>
        </w:p>
        <w:p>
          <w:pPr>
            <w:pStyle w:val="22"/>
            <w:tabs>
              <w:tab w:val="right" w:leader="dot" w:pos="8296"/>
            </w:tabs>
            <w:ind w:firstLine="440"/>
            <w:rPr>
              <w:rFonts w:asciiTheme="minorHAnsi" w:hAnsiTheme="minorHAnsi"/>
              <w:kern w:val="2"/>
              <w:sz w:val="21"/>
            </w:rPr>
          </w:pPr>
          <w:r>
            <w:fldChar w:fldCharType="begin"/>
          </w:r>
          <w:r>
            <w:instrText xml:space="preserve"> HYPERLINK \l "_Toc112317326" </w:instrText>
          </w:r>
          <w:r>
            <w:fldChar w:fldCharType="separate"/>
          </w:r>
          <w:r>
            <w:rPr>
              <w:rStyle w:val="32"/>
            </w:rPr>
            <w:t>5.1</w:t>
          </w:r>
          <w:r>
            <w:rPr>
              <w:rStyle w:val="32"/>
              <w:rFonts w:hint="eastAsia"/>
            </w:rPr>
            <w:t xml:space="preserve"> 一般规定</w:t>
          </w:r>
          <w:r>
            <w:tab/>
          </w:r>
          <w:r>
            <w:fldChar w:fldCharType="begin"/>
          </w:r>
          <w:r>
            <w:instrText xml:space="preserve"> PAGEREF _Toc112317326 \h </w:instrText>
          </w:r>
          <w:r>
            <w:fldChar w:fldCharType="separate"/>
          </w:r>
          <w:r>
            <w:t>17</w:t>
          </w:r>
          <w:r>
            <w:fldChar w:fldCharType="end"/>
          </w:r>
          <w:r>
            <w:fldChar w:fldCharType="end"/>
          </w:r>
        </w:p>
        <w:p>
          <w:pPr>
            <w:pStyle w:val="22"/>
            <w:tabs>
              <w:tab w:val="right" w:leader="dot" w:pos="8296"/>
            </w:tabs>
            <w:ind w:firstLine="440"/>
            <w:rPr>
              <w:rFonts w:asciiTheme="minorHAnsi" w:hAnsiTheme="minorHAnsi"/>
              <w:kern w:val="2"/>
              <w:sz w:val="21"/>
            </w:rPr>
          </w:pPr>
          <w:r>
            <w:fldChar w:fldCharType="begin"/>
          </w:r>
          <w:r>
            <w:instrText xml:space="preserve"> HYPERLINK \l "_Toc112317327" </w:instrText>
          </w:r>
          <w:r>
            <w:fldChar w:fldCharType="separate"/>
          </w:r>
          <w:r>
            <w:rPr>
              <w:rStyle w:val="32"/>
            </w:rPr>
            <w:t>5.2</w:t>
          </w:r>
          <w:r>
            <w:rPr>
              <w:rStyle w:val="32"/>
              <w:rFonts w:hint="eastAsia"/>
            </w:rPr>
            <w:t xml:space="preserve"> 钢沉井制造及组装</w:t>
          </w:r>
          <w:r>
            <w:tab/>
          </w:r>
          <w:r>
            <w:fldChar w:fldCharType="begin"/>
          </w:r>
          <w:r>
            <w:instrText xml:space="preserve"> PAGEREF _Toc112317327 \h </w:instrText>
          </w:r>
          <w:r>
            <w:fldChar w:fldCharType="separate"/>
          </w:r>
          <w:r>
            <w:t>18</w:t>
          </w:r>
          <w:r>
            <w:fldChar w:fldCharType="end"/>
          </w:r>
          <w:r>
            <w:fldChar w:fldCharType="end"/>
          </w:r>
        </w:p>
        <w:p>
          <w:pPr>
            <w:pStyle w:val="22"/>
            <w:tabs>
              <w:tab w:val="right" w:leader="dot" w:pos="8296"/>
            </w:tabs>
            <w:ind w:firstLine="440"/>
            <w:rPr>
              <w:rFonts w:asciiTheme="minorHAnsi" w:hAnsiTheme="minorHAnsi"/>
              <w:kern w:val="2"/>
              <w:sz w:val="21"/>
            </w:rPr>
          </w:pPr>
          <w:r>
            <w:fldChar w:fldCharType="begin"/>
          </w:r>
          <w:r>
            <w:instrText xml:space="preserve"> HYPERLINK \l "_Toc112317328" </w:instrText>
          </w:r>
          <w:r>
            <w:fldChar w:fldCharType="separate"/>
          </w:r>
          <w:r>
            <w:rPr>
              <w:rStyle w:val="32"/>
            </w:rPr>
            <w:t>5.3</w:t>
          </w:r>
          <w:r>
            <w:rPr>
              <w:rStyle w:val="32"/>
              <w:rFonts w:hint="eastAsia"/>
            </w:rPr>
            <w:t xml:space="preserve"> 钢沉井下水</w:t>
          </w:r>
          <w:r>
            <w:tab/>
          </w:r>
          <w:r>
            <w:fldChar w:fldCharType="begin"/>
          </w:r>
          <w:r>
            <w:instrText xml:space="preserve"> PAGEREF _Toc112317328 \h </w:instrText>
          </w:r>
          <w:r>
            <w:fldChar w:fldCharType="separate"/>
          </w:r>
          <w:r>
            <w:t>20</w:t>
          </w:r>
          <w:r>
            <w:fldChar w:fldCharType="end"/>
          </w:r>
          <w:r>
            <w:fldChar w:fldCharType="end"/>
          </w:r>
        </w:p>
        <w:p>
          <w:pPr>
            <w:pStyle w:val="22"/>
            <w:tabs>
              <w:tab w:val="right" w:leader="dot" w:pos="8296"/>
            </w:tabs>
            <w:ind w:firstLine="440"/>
            <w:rPr>
              <w:rFonts w:asciiTheme="minorHAnsi" w:hAnsiTheme="minorHAnsi"/>
              <w:kern w:val="2"/>
              <w:sz w:val="21"/>
            </w:rPr>
          </w:pPr>
          <w:r>
            <w:fldChar w:fldCharType="begin"/>
          </w:r>
          <w:r>
            <w:instrText xml:space="preserve"> HYPERLINK \l "_Toc112317329" </w:instrText>
          </w:r>
          <w:r>
            <w:fldChar w:fldCharType="separate"/>
          </w:r>
          <w:r>
            <w:rPr>
              <w:rStyle w:val="32"/>
            </w:rPr>
            <w:t>5.4</w:t>
          </w:r>
          <w:r>
            <w:rPr>
              <w:rStyle w:val="32"/>
              <w:rFonts w:hint="eastAsia"/>
            </w:rPr>
            <w:t xml:space="preserve"> 钢沉井运输</w:t>
          </w:r>
          <w:r>
            <w:tab/>
          </w:r>
          <w:r>
            <w:fldChar w:fldCharType="begin"/>
          </w:r>
          <w:r>
            <w:instrText xml:space="preserve"> PAGEREF _Toc112317329 \h </w:instrText>
          </w:r>
          <w:r>
            <w:fldChar w:fldCharType="separate"/>
          </w:r>
          <w:r>
            <w:t>21</w:t>
          </w:r>
          <w:r>
            <w:fldChar w:fldCharType="end"/>
          </w:r>
          <w:r>
            <w:fldChar w:fldCharType="end"/>
          </w:r>
        </w:p>
        <w:p>
          <w:pPr>
            <w:pStyle w:val="22"/>
            <w:tabs>
              <w:tab w:val="right" w:leader="dot" w:pos="8296"/>
            </w:tabs>
            <w:ind w:firstLine="440"/>
            <w:rPr>
              <w:rFonts w:asciiTheme="minorHAnsi" w:hAnsiTheme="minorHAnsi"/>
              <w:kern w:val="2"/>
              <w:sz w:val="21"/>
            </w:rPr>
          </w:pPr>
          <w:r>
            <w:fldChar w:fldCharType="begin"/>
          </w:r>
          <w:r>
            <w:instrText xml:space="preserve"> HYPERLINK \l "_Toc112317330" </w:instrText>
          </w:r>
          <w:r>
            <w:fldChar w:fldCharType="separate"/>
          </w:r>
          <w:r>
            <w:rPr>
              <w:rStyle w:val="32"/>
            </w:rPr>
            <w:t>5.5</w:t>
          </w:r>
          <w:r>
            <w:rPr>
              <w:rStyle w:val="32"/>
              <w:rFonts w:hint="eastAsia"/>
            </w:rPr>
            <w:t xml:space="preserve"> 钢沉井定位及着床</w:t>
          </w:r>
          <w:r>
            <w:tab/>
          </w:r>
          <w:r>
            <w:fldChar w:fldCharType="begin"/>
          </w:r>
          <w:r>
            <w:instrText xml:space="preserve"> PAGEREF _Toc112317330 \h </w:instrText>
          </w:r>
          <w:r>
            <w:fldChar w:fldCharType="separate"/>
          </w:r>
          <w:r>
            <w:t>22</w:t>
          </w:r>
          <w:r>
            <w:fldChar w:fldCharType="end"/>
          </w:r>
          <w:r>
            <w:fldChar w:fldCharType="end"/>
          </w:r>
        </w:p>
        <w:p>
          <w:pPr>
            <w:pStyle w:val="22"/>
            <w:tabs>
              <w:tab w:val="right" w:leader="dot" w:pos="8296"/>
            </w:tabs>
            <w:ind w:firstLine="440"/>
            <w:rPr>
              <w:rFonts w:asciiTheme="minorHAnsi" w:hAnsiTheme="minorHAnsi"/>
              <w:kern w:val="2"/>
              <w:sz w:val="21"/>
            </w:rPr>
          </w:pPr>
          <w:r>
            <w:fldChar w:fldCharType="begin"/>
          </w:r>
          <w:r>
            <w:instrText xml:space="preserve"> HYPERLINK \l "_Toc112317331" </w:instrText>
          </w:r>
          <w:r>
            <w:fldChar w:fldCharType="separate"/>
          </w:r>
          <w:r>
            <w:rPr>
              <w:rStyle w:val="32"/>
            </w:rPr>
            <w:t>5.6</w:t>
          </w:r>
          <w:r>
            <w:rPr>
              <w:rStyle w:val="32"/>
              <w:rFonts w:hint="eastAsia"/>
            </w:rPr>
            <w:t xml:space="preserve"> 钢沉井接高</w:t>
          </w:r>
          <w:r>
            <w:tab/>
          </w:r>
          <w:r>
            <w:fldChar w:fldCharType="begin"/>
          </w:r>
          <w:r>
            <w:instrText xml:space="preserve"> PAGEREF _Toc112317331 \h </w:instrText>
          </w:r>
          <w:r>
            <w:fldChar w:fldCharType="separate"/>
          </w:r>
          <w:r>
            <w:t>24</w:t>
          </w:r>
          <w:r>
            <w:fldChar w:fldCharType="end"/>
          </w:r>
          <w:r>
            <w:fldChar w:fldCharType="end"/>
          </w:r>
        </w:p>
        <w:p>
          <w:pPr>
            <w:pStyle w:val="22"/>
            <w:tabs>
              <w:tab w:val="right" w:leader="dot" w:pos="8296"/>
            </w:tabs>
            <w:ind w:firstLine="440"/>
            <w:rPr>
              <w:rFonts w:asciiTheme="minorHAnsi" w:hAnsiTheme="minorHAnsi"/>
              <w:kern w:val="2"/>
              <w:sz w:val="21"/>
            </w:rPr>
          </w:pPr>
          <w:r>
            <w:fldChar w:fldCharType="begin"/>
          </w:r>
          <w:r>
            <w:instrText xml:space="preserve"> HYPERLINK \l "_Toc112317332" </w:instrText>
          </w:r>
          <w:r>
            <w:fldChar w:fldCharType="separate"/>
          </w:r>
          <w:r>
            <w:rPr>
              <w:rStyle w:val="32"/>
            </w:rPr>
            <w:t>5.7</w:t>
          </w:r>
          <w:r>
            <w:rPr>
              <w:rStyle w:val="32"/>
              <w:rFonts w:hint="eastAsia"/>
            </w:rPr>
            <w:t xml:space="preserve"> 隔舱混凝土浇筑</w:t>
          </w:r>
          <w:r>
            <w:tab/>
          </w:r>
          <w:r>
            <w:fldChar w:fldCharType="begin"/>
          </w:r>
          <w:r>
            <w:instrText xml:space="preserve"> PAGEREF _Toc112317332 \h </w:instrText>
          </w:r>
          <w:r>
            <w:fldChar w:fldCharType="separate"/>
          </w:r>
          <w:r>
            <w:t>25</w:t>
          </w:r>
          <w:r>
            <w:fldChar w:fldCharType="end"/>
          </w:r>
          <w:r>
            <w:fldChar w:fldCharType="end"/>
          </w:r>
        </w:p>
        <w:p>
          <w:pPr>
            <w:pStyle w:val="22"/>
            <w:tabs>
              <w:tab w:val="right" w:leader="dot" w:pos="8296"/>
            </w:tabs>
            <w:ind w:firstLine="440"/>
            <w:rPr>
              <w:rFonts w:asciiTheme="minorHAnsi" w:hAnsiTheme="minorHAnsi"/>
              <w:kern w:val="2"/>
              <w:sz w:val="21"/>
            </w:rPr>
          </w:pPr>
          <w:r>
            <w:fldChar w:fldCharType="begin"/>
          </w:r>
          <w:r>
            <w:instrText xml:space="preserve"> HYPERLINK \l "_Toc112317333" </w:instrText>
          </w:r>
          <w:r>
            <w:fldChar w:fldCharType="separate"/>
          </w:r>
          <w:r>
            <w:rPr>
              <w:rStyle w:val="32"/>
            </w:rPr>
            <w:t>5.8</w:t>
          </w:r>
          <w:r>
            <w:rPr>
              <w:rStyle w:val="32"/>
              <w:rFonts w:hint="eastAsia"/>
            </w:rPr>
            <w:t xml:space="preserve"> 混凝土沉井接高</w:t>
          </w:r>
          <w:r>
            <w:tab/>
          </w:r>
          <w:r>
            <w:fldChar w:fldCharType="begin"/>
          </w:r>
          <w:r>
            <w:instrText xml:space="preserve"> PAGEREF _Toc112317333 \h </w:instrText>
          </w:r>
          <w:r>
            <w:fldChar w:fldCharType="separate"/>
          </w:r>
          <w:r>
            <w:t>26</w:t>
          </w:r>
          <w:r>
            <w:fldChar w:fldCharType="end"/>
          </w:r>
          <w:r>
            <w:fldChar w:fldCharType="end"/>
          </w:r>
        </w:p>
        <w:p>
          <w:pPr>
            <w:pStyle w:val="22"/>
            <w:tabs>
              <w:tab w:val="right" w:leader="dot" w:pos="8296"/>
            </w:tabs>
            <w:ind w:firstLine="440"/>
            <w:rPr>
              <w:rFonts w:asciiTheme="minorHAnsi" w:hAnsiTheme="minorHAnsi"/>
              <w:kern w:val="2"/>
              <w:sz w:val="21"/>
            </w:rPr>
          </w:pPr>
          <w:r>
            <w:fldChar w:fldCharType="begin"/>
          </w:r>
          <w:r>
            <w:instrText xml:space="preserve"> HYPERLINK \l "_Toc112317334" </w:instrText>
          </w:r>
          <w:r>
            <w:fldChar w:fldCharType="separate"/>
          </w:r>
          <w:r>
            <w:rPr>
              <w:rStyle w:val="32"/>
            </w:rPr>
            <w:t>5.9</w:t>
          </w:r>
          <w:r>
            <w:rPr>
              <w:rStyle w:val="32"/>
              <w:rFonts w:hint="eastAsia"/>
            </w:rPr>
            <w:t xml:space="preserve"> 沉井下沉施工</w:t>
          </w:r>
          <w:r>
            <w:tab/>
          </w:r>
          <w:r>
            <w:fldChar w:fldCharType="begin"/>
          </w:r>
          <w:r>
            <w:instrText xml:space="preserve"> PAGEREF _Toc112317334 \h </w:instrText>
          </w:r>
          <w:r>
            <w:fldChar w:fldCharType="separate"/>
          </w:r>
          <w:r>
            <w:t>26</w:t>
          </w:r>
          <w:r>
            <w:fldChar w:fldCharType="end"/>
          </w:r>
          <w:r>
            <w:fldChar w:fldCharType="end"/>
          </w:r>
        </w:p>
        <w:p>
          <w:pPr>
            <w:pStyle w:val="22"/>
            <w:tabs>
              <w:tab w:val="right" w:leader="dot" w:pos="8296"/>
            </w:tabs>
            <w:ind w:firstLine="440"/>
            <w:rPr>
              <w:rFonts w:asciiTheme="minorHAnsi" w:hAnsiTheme="minorHAnsi"/>
              <w:kern w:val="2"/>
              <w:sz w:val="21"/>
            </w:rPr>
          </w:pPr>
          <w:r>
            <w:fldChar w:fldCharType="begin"/>
          </w:r>
          <w:r>
            <w:instrText xml:space="preserve"> HYPERLINK \l "_Toc112317335" </w:instrText>
          </w:r>
          <w:r>
            <w:fldChar w:fldCharType="separate"/>
          </w:r>
          <w:r>
            <w:rPr>
              <w:rStyle w:val="32"/>
            </w:rPr>
            <w:t>5.10</w:t>
          </w:r>
          <w:r>
            <w:rPr>
              <w:rStyle w:val="32"/>
              <w:rFonts w:hint="eastAsia"/>
            </w:rPr>
            <w:t xml:space="preserve"> 终沉清基</w:t>
          </w:r>
          <w:r>
            <w:tab/>
          </w:r>
          <w:r>
            <w:fldChar w:fldCharType="begin"/>
          </w:r>
          <w:r>
            <w:instrText xml:space="preserve"> PAGEREF _Toc112317335 \h </w:instrText>
          </w:r>
          <w:r>
            <w:fldChar w:fldCharType="separate"/>
          </w:r>
          <w:r>
            <w:t>28</w:t>
          </w:r>
          <w:r>
            <w:fldChar w:fldCharType="end"/>
          </w:r>
          <w:r>
            <w:fldChar w:fldCharType="end"/>
          </w:r>
        </w:p>
        <w:p>
          <w:pPr>
            <w:pStyle w:val="22"/>
            <w:tabs>
              <w:tab w:val="right" w:leader="dot" w:pos="8296"/>
            </w:tabs>
            <w:ind w:firstLine="440"/>
            <w:rPr>
              <w:rFonts w:asciiTheme="minorHAnsi" w:hAnsiTheme="minorHAnsi"/>
              <w:kern w:val="2"/>
              <w:sz w:val="21"/>
            </w:rPr>
          </w:pPr>
          <w:r>
            <w:fldChar w:fldCharType="begin"/>
          </w:r>
          <w:r>
            <w:instrText xml:space="preserve"> HYPERLINK \l "_Toc112317336" </w:instrText>
          </w:r>
          <w:r>
            <w:fldChar w:fldCharType="separate"/>
          </w:r>
          <w:r>
            <w:rPr>
              <w:rStyle w:val="32"/>
            </w:rPr>
            <w:t>5.11</w:t>
          </w:r>
          <w:r>
            <w:rPr>
              <w:rStyle w:val="32"/>
              <w:rFonts w:hint="eastAsia"/>
            </w:rPr>
            <w:t xml:space="preserve"> 封底混凝土施工</w:t>
          </w:r>
          <w:r>
            <w:tab/>
          </w:r>
          <w:r>
            <w:fldChar w:fldCharType="begin"/>
          </w:r>
          <w:r>
            <w:instrText xml:space="preserve"> PAGEREF _Toc112317336 \h </w:instrText>
          </w:r>
          <w:r>
            <w:fldChar w:fldCharType="separate"/>
          </w:r>
          <w:r>
            <w:t>30</w:t>
          </w:r>
          <w:r>
            <w:fldChar w:fldCharType="end"/>
          </w:r>
          <w:r>
            <w:fldChar w:fldCharType="end"/>
          </w:r>
        </w:p>
        <w:p>
          <w:pPr>
            <w:pStyle w:val="18"/>
            <w:ind w:firstLine="440"/>
            <w:rPr>
              <w:rFonts w:asciiTheme="minorHAnsi" w:hAnsiTheme="minorHAnsi"/>
              <w:kern w:val="2"/>
              <w:sz w:val="21"/>
            </w:rPr>
          </w:pPr>
          <w:r>
            <w:fldChar w:fldCharType="begin"/>
          </w:r>
          <w:r>
            <w:instrText xml:space="preserve"> HYPERLINK \l "_Toc112317337" </w:instrText>
          </w:r>
          <w:r>
            <w:fldChar w:fldCharType="separate"/>
          </w:r>
          <w:r>
            <w:rPr>
              <w:rStyle w:val="32"/>
              <w:b/>
            </w:rPr>
            <w:t>6</w:t>
          </w:r>
          <w:r>
            <w:rPr>
              <w:rStyle w:val="32"/>
              <w:rFonts w:hint="eastAsia"/>
            </w:rPr>
            <w:t xml:space="preserve"> 施工监测与控制</w:t>
          </w:r>
          <w:r>
            <w:tab/>
          </w:r>
          <w:r>
            <w:fldChar w:fldCharType="begin"/>
          </w:r>
          <w:r>
            <w:instrText xml:space="preserve"> PAGEREF _Toc112317337 \h </w:instrText>
          </w:r>
          <w:r>
            <w:fldChar w:fldCharType="separate"/>
          </w:r>
          <w:r>
            <w:t>32</w:t>
          </w:r>
          <w:r>
            <w:fldChar w:fldCharType="end"/>
          </w:r>
          <w:r>
            <w:fldChar w:fldCharType="end"/>
          </w:r>
        </w:p>
        <w:p>
          <w:pPr>
            <w:pStyle w:val="22"/>
            <w:tabs>
              <w:tab w:val="right" w:leader="dot" w:pos="8296"/>
            </w:tabs>
            <w:ind w:firstLine="440"/>
            <w:rPr>
              <w:rFonts w:asciiTheme="minorHAnsi" w:hAnsiTheme="minorHAnsi"/>
              <w:kern w:val="2"/>
              <w:sz w:val="21"/>
            </w:rPr>
          </w:pPr>
          <w:r>
            <w:fldChar w:fldCharType="begin"/>
          </w:r>
          <w:r>
            <w:instrText xml:space="preserve"> HYPERLINK \l "_Toc112317338" </w:instrText>
          </w:r>
          <w:r>
            <w:fldChar w:fldCharType="separate"/>
          </w:r>
          <w:r>
            <w:rPr>
              <w:rStyle w:val="32"/>
            </w:rPr>
            <w:t>6.1</w:t>
          </w:r>
          <w:r>
            <w:rPr>
              <w:rStyle w:val="32"/>
              <w:rFonts w:hint="eastAsia"/>
            </w:rPr>
            <w:t xml:space="preserve"> 一般规定</w:t>
          </w:r>
          <w:r>
            <w:tab/>
          </w:r>
          <w:r>
            <w:fldChar w:fldCharType="begin"/>
          </w:r>
          <w:r>
            <w:instrText xml:space="preserve"> PAGEREF _Toc112317338 \h </w:instrText>
          </w:r>
          <w:r>
            <w:fldChar w:fldCharType="separate"/>
          </w:r>
          <w:r>
            <w:t>32</w:t>
          </w:r>
          <w:r>
            <w:fldChar w:fldCharType="end"/>
          </w:r>
          <w:r>
            <w:fldChar w:fldCharType="end"/>
          </w:r>
        </w:p>
        <w:p>
          <w:pPr>
            <w:pStyle w:val="22"/>
            <w:tabs>
              <w:tab w:val="right" w:leader="dot" w:pos="8296"/>
            </w:tabs>
            <w:ind w:firstLine="440"/>
            <w:rPr>
              <w:rFonts w:asciiTheme="minorHAnsi" w:hAnsiTheme="minorHAnsi"/>
              <w:kern w:val="2"/>
              <w:sz w:val="21"/>
            </w:rPr>
          </w:pPr>
          <w:r>
            <w:fldChar w:fldCharType="begin"/>
          </w:r>
          <w:r>
            <w:instrText xml:space="preserve"> HYPERLINK \l "_Toc112317339" </w:instrText>
          </w:r>
          <w:r>
            <w:fldChar w:fldCharType="separate"/>
          </w:r>
          <w:r>
            <w:rPr>
              <w:rStyle w:val="32"/>
            </w:rPr>
            <w:t>6.2</w:t>
          </w:r>
          <w:r>
            <w:rPr>
              <w:rStyle w:val="32"/>
              <w:rFonts w:hint="eastAsia"/>
            </w:rPr>
            <w:t xml:space="preserve"> 监测与报警</w:t>
          </w:r>
          <w:r>
            <w:tab/>
          </w:r>
          <w:r>
            <w:fldChar w:fldCharType="begin"/>
          </w:r>
          <w:r>
            <w:instrText xml:space="preserve"> PAGEREF _Toc112317339 \h </w:instrText>
          </w:r>
          <w:r>
            <w:fldChar w:fldCharType="separate"/>
          </w:r>
          <w:r>
            <w:t>33</w:t>
          </w:r>
          <w:r>
            <w:fldChar w:fldCharType="end"/>
          </w:r>
          <w:r>
            <w:fldChar w:fldCharType="end"/>
          </w:r>
        </w:p>
        <w:p>
          <w:pPr>
            <w:pStyle w:val="22"/>
            <w:tabs>
              <w:tab w:val="right" w:leader="dot" w:pos="8296"/>
            </w:tabs>
            <w:ind w:firstLine="440"/>
            <w:rPr>
              <w:rFonts w:asciiTheme="minorHAnsi" w:hAnsiTheme="minorHAnsi"/>
              <w:kern w:val="2"/>
              <w:sz w:val="21"/>
            </w:rPr>
          </w:pPr>
          <w:r>
            <w:fldChar w:fldCharType="begin"/>
          </w:r>
          <w:r>
            <w:instrText xml:space="preserve"> HYPERLINK \l "_Toc112317340" </w:instrText>
          </w:r>
          <w:r>
            <w:fldChar w:fldCharType="separate"/>
          </w:r>
          <w:r>
            <w:rPr>
              <w:rStyle w:val="32"/>
            </w:rPr>
            <w:t>6.3</w:t>
          </w:r>
          <w:r>
            <w:rPr>
              <w:rStyle w:val="32"/>
              <w:rFonts w:hint="eastAsia"/>
            </w:rPr>
            <w:t xml:space="preserve"> 监测报告</w:t>
          </w:r>
          <w:r>
            <w:tab/>
          </w:r>
          <w:r>
            <w:fldChar w:fldCharType="begin"/>
          </w:r>
          <w:r>
            <w:instrText xml:space="preserve"> PAGEREF _Toc112317340 \h </w:instrText>
          </w:r>
          <w:r>
            <w:fldChar w:fldCharType="separate"/>
          </w:r>
          <w:r>
            <w:t>34</w:t>
          </w:r>
          <w:r>
            <w:fldChar w:fldCharType="end"/>
          </w:r>
          <w:r>
            <w:fldChar w:fldCharType="end"/>
          </w:r>
        </w:p>
        <w:p>
          <w:pPr>
            <w:pStyle w:val="18"/>
            <w:ind w:firstLine="440"/>
            <w:rPr>
              <w:rFonts w:asciiTheme="minorHAnsi" w:hAnsiTheme="minorHAnsi"/>
              <w:kern w:val="2"/>
              <w:sz w:val="21"/>
            </w:rPr>
          </w:pPr>
          <w:r>
            <w:fldChar w:fldCharType="begin"/>
          </w:r>
          <w:r>
            <w:instrText xml:space="preserve"> HYPERLINK \l "_Toc112317341" </w:instrText>
          </w:r>
          <w:r>
            <w:fldChar w:fldCharType="separate"/>
          </w:r>
          <w:r>
            <w:rPr>
              <w:rStyle w:val="32"/>
              <w:rFonts w:hint="eastAsia"/>
            </w:rPr>
            <w:t>用词说明</w:t>
          </w:r>
          <w:r>
            <w:tab/>
          </w:r>
          <w:r>
            <w:fldChar w:fldCharType="begin"/>
          </w:r>
          <w:r>
            <w:instrText xml:space="preserve"> PAGEREF _Toc112317341 \h </w:instrText>
          </w:r>
          <w:r>
            <w:fldChar w:fldCharType="separate"/>
          </w:r>
          <w:r>
            <w:t>36</w:t>
          </w:r>
          <w:r>
            <w:fldChar w:fldCharType="end"/>
          </w:r>
          <w:r>
            <w:fldChar w:fldCharType="end"/>
          </w:r>
        </w:p>
        <w:p>
          <w:pPr>
            <w:pStyle w:val="18"/>
            <w:ind w:firstLine="440"/>
            <w:rPr>
              <w:rFonts w:asciiTheme="minorHAnsi" w:hAnsiTheme="minorHAnsi"/>
              <w:kern w:val="2"/>
              <w:sz w:val="21"/>
            </w:rPr>
          </w:pPr>
          <w:r>
            <w:fldChar w:fldCharType="begin"/>
          </w:r>
          <w:r>
            <w:instrText xml:space="preserve"> HYPERLINK \l "_Toc112317342" </w:instrText>
          </w:r>
          <w:r>
            <w:fldChar w:fldCharType="separate"/>
          </w:r>
          <w:r>
            <w:rPr>
              <w:rStyle w:val="32"/>
              <w:rFonts w:hint="eastAsia"/>
            </w:rPr>
            <w:t>条文说明</w:t>
          </w:r>
          <w:r>
            <w:tab/>
          </w:r>
          <w:r>
            <w:fldChar w:fldCharType="begin"/>
          </w:r>
          <w:r>
            <w:instrText xml:space="preserve"> PAGEREF _Toc112317342 \h </w:instrText>
          </w:r>
          <w:r>
            <w:fldChar w:fldCharType="separate"/>
          </w:r>
          <w:r>
            <w:t>37</w:t>
          </w:r>
          <w:r>
            <w:fldChar w:fldCharType="end"/>
          </w:r>
          <w:r>
            <w:fldChar w:fldCharType="end"/>
          </w:r>
        </w:p>
        <w:p>
          <w:pPr>
            <w:pStyle w:val="18"/>
            <w:ind w:firstLine="440"/>
            <w:rPr>
              <w:rFonts w:asciiTheme="minorHAnsi" w:hAnsiTheme="minorHAnsi"/>
              <w:kern w:val="2"/>
              <w:sz w:val="21"/>
            </w:rPr>
          </w:pPr>
          <w:r>
            <w:fldChar w:fldCharType="begin"/>
          </w:r>
          <w:r>
            <w:instrText xml:space="preserve"> HYPERLINK \l "_Toc112317343" </w:instrText>
          </w:r>
          <w:r>
            <w:fldChar w:fldCharType="separate"/>
          </w:r>
          <w:r>
            <w:rPr>
              <w:rStyle w:val="32"/>
              <w:b/>
            </w:rPr>
            <w:t>1</w:t>
          </w:r>
          <w:r>
            <w:rPr>
              <w:rStyle w:val="32"/>
            </w:rPr>
            <w:t xml:space="preserve"> </w:t>
          </w:r>
          <w:r>
            <w:rPr>
              <w:rStyle w:val="32"/>
              <w:rFonts w:hint="eastAsia"/>
            </w:rPr>
            <w:t>总则</w:t>
          </w:r>
          <w:r>
            <w:tab/>
          </w:r>
          <w:r>
            <w:fldChar w:fldCharType="begin"/>
          </w:r>
          <w:r>
            <w:instrText xml:space="preserve"> PAGEREF _Toc112317343 \h </w:instrText>
          </w:r>
          <w:r>
            <w:fldChar w:fldCharType="separate"/>
          </w:r>
          <w:r>
            <w:t>38</w:t>
          </w:r>
          <w:r>
            <w:fldChar w:fldCharType="end"/>
          </w:r>
          <w:r>
            <w:fldChar w:fldCharType="end"/>
          </w:r>
        </w:p>
        <w:p>
          <w:pPr>
            <w:pStyle w:val="18"/>
            <w:ind w:firstLine="440"/>
            <w:rPr>
              <w:rFonts w:asciiTheme="minorHAnsi" w:hAnsiTheme="minorHAnsi"/>
              <w:kern w:val="2"/>
              <w:sz w:val="21"/>
            </w:rPr>
          </w:pPr>
          <w:r>
            <w:fldChar w:fldCharType="begin"/>
          </w:r>
          <w:r>
            <w:instrText xml:space="preserve"> HYPERLINK \l "_Toc112317344" </w:instrText>
          </w:r>
          <w:r>
            <w:fldChar w:fldCharType="separate"/>
          </w:r>
          <w:r>
            <w:rPr>
              <w:rStyle w:val="32"/>
              <w:b/>
            </w:rPr>
            <w:t>3</w:t>
          </w:r>
          <w:r>
            <w:rPr>
              <w:rStyle w:val="32"/>
            </w:rPr>
            <w:t xml:space="preserve"> </w:t>
          </w:r>
          <w:r>
            <w:rPr>
              <w:rStyle w:val="32"/>
              <w:rFonts w:hint="eastAsia"/>
            </w:rPr>
            <w:t>基本规定</w:t>
          </w:r>
          <w:r>
            <w:tab/>
          </w:r>
          <w:r>
            <w:fldChar w:fldCharType="begin"/>
          </w:r>
          <w:r>
            <w:instrText xml:space="preserve"> PAGEREF _Toc112317344 \h </w:instrText>
          </w:r>
          <w:r>
            <w:fldChar w:fldCharType="separate"/>
          </w:r>
          <w:r>
            <w:t>39</w:t>
          </w:r>
          <w:r>
            <w:fldChar w:fldCharType="end"/>
          </w:r>
          <w:r>
            <w:fldChar w:fldCharType="end"/>
          </w:r>
        </w:p>
        <w:p>
          <w:pPr>
            <w:pStyle w:val="18"/>
            <w:ind w:firstLine="440"/>
            <w:rPr>
              <w:rFonts w:asciiTheme="minorHAnsi" w:hAnsiTheme="minorHAnsi"/>
              <w:kern w:val="2"/>
              <w:sz w:val="21"/>
            </w:rPr>
          </w:pPr>
          <w:r>
            <w:fldChar w:fldCharType="begin"/>
          </w:r>
          <w:r>
            <w:instrText xml:space="preserve"> HYPERLINK \l "_Toc112317345" </w:instrText>
          </w:r>
          <w:r>
            <w:fldChar w:fldCharType="separate"/>
          </w:r>
          <w:r>
            <w:rPr>
              <w:rStyle w:val="32"/>
            </w:rPr>
            <w:t xml:space="preserve">4 </w:t>
          </w:r>
          <w:r>
            <w:rPr>
              <w:rStyle w:val="32"/>
              <w:rFonts w:hint="eastAsia"/>
            </w:rPr>
            <w:t>计算与验算</w:t>
          </w:r>
          <w:r>
            <w:tab/>
          </w:r>
          <w:r>
            <w:fldChar w:fldCharType="begin"/>
          </w:r>
          <w:r>
            <w:instrText xml:space="preserve"> PAGEREF _Toc112317345 \h </w:instrText>
          </w:r>
          <w:r>
            <w:fldChar w:fldCharType="separate"/>
          </w:r>
          <w:r>
            <w:t>40</w:t>
          </w:r>
          <w:r>
            <w:fldChar w:fldCharType="end"/>
          </w:r>
          <w:r>
            <w:fldChar w:fldCharType="end"/>
          </w:r>
        </w:p>
        <w:p>
          <w:pPr>
            <w:pStyle w:val="22"/>
            <w:tabs>
              <w:tab w:val="right" w:leader="dot" w:pos="8296"/>
            </w:tabs>
            <w:ind w:firstLine="440"/>
            <w:rPr>
              <w:rFonts w:asciiTheme="minorHAnsi" w:hAnsiTheme="minorHAnsi"/>
              <w:kern w:val="2"/>
              <w:sz w:val="21"/>
            </w:rPr>
          </w:pPr>
          <w:r>
            <w:fldChar w:fldCharType="begin"/>
          </w:r>
          <w:r>
            <w:instrText xml:space="preserve"> HYPERLINK \l "_Toc112317346" </w:instrText>
          </w:r>
          <w:r>
            <w:fldChar w:fldCharType="separate"/>
          </w:r>
          <w:r>
            <w:rPr>
              <w:rStyle w:val="32"/>
            </w:rPr>
            <w:t xml:space="preserve">4.2 </w:t>
          </w:r>
          <w:r>
            <w:rPr>
              <w:rStyle w:val="32"/>
              <w:rFonts w:hint="eastAsia"/>
            </w:rPr>
            <w:t>浮运及定位计算</w:t>
          </w:r>
          <w:r>
            <w:tab/>
          </w:r>
          <w:r>
            <w:fldChar w:fldCharType="begin"/>
          </w:r>
          <w:r>
            <w:instrText xml:space="preserve"> PAGEREF _Toc112317346 \h </w:instrText>
          </w:r>
          <w:r>
            <w:fldChar w:fldCharType="separate"/>
          </w:r>
          <w:r>
            <w:t>40</w:t>
          </w:r>
          <w:r>
            <w:fldChar w:fldCharType="end"/>
          </w:r>
          <w:r>
            <w:fldChar w:fldCharType="end"/>
          </w:r>
        </w:p>
        <w:p>
          <w:pPr>
            <w:pStyle w:val="22"/>
            <w:tabs>
              <w:tab w:val="right" w:leader="dot" w:pos="8296"/>
            </w:tabs>
            <w:ind w:firstLine="440"/>
            <w:rPr>
              <w:rFonts w:asciiTheme="minorHAnsi" w:hAnsiTheme="minorHAnsi"/>
              <w:kern w:val="2"/>
              <w:sz w:val="21"/>
            </w:rPr>
          </w:pPr>
          <w:r>
            <w:fldChar w:fldCharType="begin"/>
          </w:r>
          <w:r>
            <w:instrText xml:space="preserve"> HYPERLINK \l "_Toc112317347" </w:instrText>
          </w:r>
          <w:r>
            <w:fldChar w:fldCharType="separate"/>
          </w:r>
          <w:r>
            <w:rPr>
              <w:rStyle w:val="32"/>
            </w:rPr>
            <w:t xml:space="preserve">4.3 </w:t>
          </w:r>
          <w:r>
            <w:rPr>
              <w:rStyle w:val="32"/>
              <w:rFonts w:hint="eastAsia"/>
            </w:rPr>
            <w:t>沉井下沉计算</w:t>
          </w:r>
          <w:r>
            <w:tab/>
          </w:r>
          <w:r>
            <w:fldChar w:fldCharType="begin"/>
          </w:r>
          <w:r>
            <w:instrText xml:space="preserve"> PAGEREF _Toc112317347 \h </w:instrText>
          </w:r>
          <w:r>
            <w:fldChar w:fldCharType="separate"/>
          </w:r>
          <w:r>
            <w:t>40</w:t>
          </w:r>
          <w:r>
            <w:fldChar w:fldCharType="end"/>
          </w:r>
          <w:r>
            <w:fldChar w:fldCharType="end"/>
          </w:r>
        </w:p>
        <w:p>
          <w:pPr>
            <w:pStyle w:val="22"/>
            <w:tabs>
              <w:tab w:val="right" w:leader="dot" w:pos="8296"/>
            </w:tabs>
            <w:ind w:firstLine="440"/>
            <w:rPr>
              <w:rFonts w:asciiTheme="minorHAnsi" w:hAnsiTheme="minorHAnsi"/>
              <w:kern w:val="2"/>
              <w:sz w:val="21"/>
            </w:rPr>
          </w:pPr>
          <w:r>
            <w:fldChar w:fldCharType="begin"/>
          </w:r>
          <w:r>
            <w:instrText xml:space="preserve"> HYPERLINK \l "_Toc112317348" </w:instrText>
          </w:r>
          <w:r>
            <w:fldChar w:fldCharType="separate"/>
          </w:r>
          <w:r>
            <w:rPr>
              <w:rStyle w:val="32"/>
            </w:rPr>
            <w:t xml:space="preserve">4.5 </w:t>
          </w:r>
          <w:r>
            <w:rPr>
              <w:rStyle w:val="32"/>
              <w:rFonts w:hint="eastAsia"/>
            </w:rPr>
            <w:t>混凝土浇筑计算</w:t>
          </w:r>
          <w:r>
            <w:tab/>
          </w:r>
          <w:r>
            <w:fldChar w:fldCharType="begin"/>
          </w:r>
          <w:r>
            <w:instrText xml:space="preserve"> PAGEREF _Toc112317348 \h </w:instrText>
          </w:r>
          <w:r>
            <w:fldChar w:fldCharType="separate"/>
          </w:r>
          <w:r>
            <w:t>40</w:t>
          </w:r>
          <w:r>
            <w:fldChar w:fldCharType="end"/>
          </w:r>
          <w:r>
            <w:fldChar w:fldCharType="end"/>
          </w:r>
        </w:p>
        <w:p>
          <w:pPr>
            <w:pStyle w:val="18"/>
            <w:ind w:firstLine="440"/>
            <w:rPr>
              <w:rFonts w:asciiTheme="minorHAnsi" w:hAnsiTheme="minorHAnsi"/>
              <w:kern w:val="2"/>
              <w:sz w:val="21"/>
            </w:rPr>
          </w:pPr>
          <w:r>
            <w:fldChar w:fldCharType="begin"/>
          </w:r>
          <w:r>
            <w:instrText xml:space="preserve"> HYPERLINK \l "_Toc112317349" </w:instrText>
          </w:r>
          <w:r>
            <w:fldChar w:fldCharType="separate"/>
          </w:r>
          <w:r>
            <w:rPr>
              <w:rStyle w:val="32"/>
            </w:rPr>
            <w:t xml:space="preserve">5 </w:t>
          </w:r>
          <w:r>
            <w:rPr>
              <w:rStyle w:val="32"/>
              <w:rFonts w:hint="eastAsia"/>
            </w:rPr>
            <w:t>水中沉井基础施工</w:t>
          </w:r>
          <w:r>
            <w:tab/>
          </w:r>
          <w:r>
            <w:fldChar w:fldCharType="begin"/>
          </w:r>
          <w:r>
            <w:instrText xml:space="preserve"> PAGEREF _Toc112317349 \h </w:instrText>
          </w:r>
          <w:r>
            <w:fldChar w:fldCharType="separate"/>
          </w:r>
          <w:r>
            <w:t>41</w:t>
          </w:r>
          <w:r>
            <w:fldChar w:fldCharType="end"/>
          </w:r>
          <w:r>
            <w:fldChar w:fldCharType="end"/>
          </w:r>
        </w:p>
        <w:p>
          <w:pPr>
            <w:pStyle w:val="22"/>
            <w:tabs>
              <w:tab w:val="right" w:leader="dot" w:pos="8296"/>
            </w:tabs>
            <w:ind w:firstLine="440"/>
            <w:rPr>
              <w:rFonts w:asciiTheme="minorHAnsi" w:hAnsiTheme="minorHAnsi"/>
              <w:kern w:val="2"/>
              <w:sz w:val="21"/>
            </w:rPr>
          </w:pPr>
          <w:r>
            <w:fldChar w:fldCharType="begin"/>
          </w:r>
          <w:r>
            <w:instrText xml:space="preserve"> HYPERLINK \l "_Toc112317350" </w:instrText>
          </w:r>
          <w:r>
            <w:fldChar w:fldCharType="separate"/>
          </w:r>
          <w:r>
            <w:rPr>
              <w:rStyle w:val="32"/>
            </w:rPr>
            <w:t xml:space="preserve">5.1 </w:t>
          </w:r>
          <w:r>
            <w:rPr>
              <w:rStyle w:val="32"/>
              <w:rFonts w:hint="eastAsia"/>
            </w:rPr>
            <w:t>一般规定</w:t>
          </w:r>
          <w:r>
            <w:tab/>
          </w:r>
          <w:r>
            <w:fldChar w:fldCharType="begin"/>
          </w:r>
          <w:r>
            <w:instrText xml:space="preserve"> PAGEREF _Toc112317350 \h </w:instrText>
          </w:r>
          <w:r>
            <w:fldChar w:fldCharType="separate"/>
          </w:r>
          <w:r>
            <w:t>41</w:t>
          </w:r>
          <w:r>
            <w:fldChar w:fldCharType="end"/>
          </w:r>
          <w:r>
            <w:fldChar w:fldCharType="end"/>
          </w:r>
        </w:p>
        <w:p>
          <w:pPr>
            <w:pStyle w:val="22"/>
            <w:tabs>
              <w:tab w:val="right" w:leader="dot" w:pos="8296"/>
            </w:tabs>
            <w:ind w:firstLine="440"/>
            <w:rPr>
              <w:rFonts w:asciiTheme="minorHAnsi" w:hAnsiTheme="minorHAnsi"/>
              <w:kern w:val="2"/>
              <w:sz w:val="21"/>
            </w:rPr>
          </w:pPr>
          <w:r>
            <w:fldChar w:fldCharType="begin"/>
          </w:r>
          <w:r>
            <w:instrText xml:space="preserve"> HYPERLINK \l "_Toc112317351" </w:instrText>
          </w:r>
          <w:r>
            <w:fldChar w:fldCharType="separate"/>
          </w:r>
          <w:r>
            <w:rPr>
              <w:rStyle w:val="32"/>
            </w:rPr>
            <w:t xml:space="preserve">5.2 </w:t>
          </w:r>
          <w:r>
            <w:rPr>
              <w:rStyle w:val="32"/>
              <w:rFonts w:hint="eastAsia"/>
            </w:rPr>
            <w:t>钢沉井制造及组装</w:t>
          </w:r>
          <w:r>
            <w:tab/>
          </w:r>
          <w:r>
            <w:fldChar w:fldCharType="begin"/>
          </w:r>
          <w:r>
            <w:instrText xml:space="preserve"> PAGEREF _Toc112317351 \h </w:instrText>
          </w:r>
          <w:r>
            <w:fldChar w:fldCharType="separate"/>
          </w:r>
          <w:r>
            <w:t>41</w:t>
          </w:r>
          <w:r>
            <w:fldChar w:fldCharType="end"/>
          </w:r>
          <w:r>
            <w:fldChar w:fldCharType="end"/>
          </w:r>
        </w:p>
        <w:p>
          <w:pPr>
            <w:pStyle w:val="22"/>
            <w:tabs>
              <w:tab w:val="right" w:leader="dot" w:pos="8296"/>
            </w:tabs>
            <w:ind w:firstLine="440"/>
            <w:rPr>
              <w:rFonts w:asciiTheme="minorHAnsi" w:hAnsiTheme="minorHAnsi"/>
              <w:kern w:val="2"/>
              <w:sz w:val="21"/>
            </w:rPr>
          </w:pPr>
          <w:r>
            <w:fldChar w:fldCharType="begin"/>
          </w:r>
          <w:r>
            <w:instrText xml:space="preserve"> HYPERLINK \l "_Toc112317352" </w:instrText>
          </w:r>
          <w:r>
            <w:fldChar w:fldCharType="separate"/>
          </w:r>
          <w:r>
            <w:rPr>
              <w:rStyle w:val="32"/>
            </w:rPr>
            <w:t xml:space="preserve">5.3 </w:t>
          </w:r>
          <w:r>
            <w:rPr>
              <w:rStyle w:val="32"/>
              <w:rFonts w:hint="eastAsia"/>
            </w:rPr>
            <w:t>钢沉井下水</w:t>
          </w:r>
          <w:r>
            <w:tab/>
          </w:r>
          <w:r>
            <w:fldChar w:fldCharType="begin"/>
          </w:r>
          <w:r>
            <w:instrText xml:space="preserve"> PAGEREF _Toc112317352 \h </w:instrText>
          </w:r>
          <w:r>
            <w:fldChar w:fldCharType="separate"/>
          </w:r>
          <w:r>
            <w:t>42</w:t>
          </w:r>
          <w:r>
            <w:fldChar w:fldCharType="end"/>
          </w:r>
          <w:r>
            <w:fldChar w:fldCharType="end"/>
          </w:r>
        </w:p>
        <w:p>
          <w:pPr>
            <w:pStyle w:val="22"/>
            <w:tabs>
              <w:tab w:val="right" w:leader="dot" w:pos="8296"/>
            </w:tabs>
            <w:ind w:firstLine="440"/>
            <w:rPr>
              <w:rFonts w:asciiTheme="minorHAnsi" w:hAnsiTheme="minorHAnsi"/>
              <w:kern w:val="2"/>
              <w:sz w:val="21"/>
            </w:rPr>
          </w:pPr>
          <w:r>
            <w:fldChar w:fldCharType="begin"/>
          </w:r>
          <w:r>
            <w:instrText xml:space="preserve"> HYPERLINK \l "_Toc112317353" </w:instrText>
          </w:r>
          <w:r>
            <w:fldChar w:fldCharType="separate"/>
          </w:r>
          <w:r>
            <w:rPr>
              <w:rStyle w:val="32"/>
            </w:rPr>
            <w:t xml:space="preserve">5.4 </w:t>
          </w:r>
          <w:r>
            <w:rPr>
              <w:rStyle w:val="32"/>
              <w:rFonts w:hint="eastAsia"/>
            </w:rPr>
            <w:t>钢沉井运输</w:t>
          </w:r>
          <w:r>
            <w:tab/>
          </w:r>
          <w:r>
            <w:fldChar w:fldCharType="begin"/>
          </w:r>
          <w:r>
            <w:instrText xml:space="preserve"> PAGEREF _Toc112317353 \h </w:instrText>
          </w:r>
          <w:r>
            <w:fldChar w:fldCharType="separate"/>
          </w:r>
          <w:r>
            <w:t>42</w:t>
          </w:r>
          <w:r>
            <w:fldChar w:fldCharType="end"/>
          </w:r>
          <w:r>
            <w:fldChar w:fldCharType="end"/>
          </w:r>
        </w:p>
        <w:p>
          <w:pPr>
            <w:pStyle w:val="22"/>
            <w:tabs>
              <w:tab w:val="right" w:leader="dot" w:pos="8296"/>
            </w:tabs>
            <w:ind w:firstLine="440"/>
            <w:rPr>
              <w:rFonts w:asciiTheme="minorHAnsi" w:hAnsiTheme="minorHAnsi"/>
              <w:kern w:val="2"/>
              <w:sz w:val="21"/>
            </w:rPr>
          </w:pPr>
          <w:r>
            <w:fldChar w:fldCharType="begin"/>
          </w:r>
          <w:r>
            <w:instrText xml:space="preserve"> HYPERLINK \l "_Toc112317354" </w:instrText>
          </w:r>
          <w:r>
            <w:fldChar w:fldCharType="separate"/>
          </w:r>
          <w:r>
            <w:rPr>
              <w:rStyle w:val="32"/>
            </w:rPr>
            <w:t xml:space="preserve">5.5 </w:t>
          </w:r>
          <w:r>
            <w:rPr>
              <w:rStyle w:val="32"/>
              <w:rFonts w:hint="eastAsia"/>
            </w:rPr>
            <w:t>钢沉井定位及着床</w:t>
          </w:r>
          <w:r>
            <w:tab/>
          </w:r>
          <w:r>
            <w:fldChar w:fldCharType="begin"/>
          </w:r>
          <w:r>
            <w:instrText xml:space="preserve"> PAGEREF _Toc112317354 \h </w:instrText>
          </w:r>
          <w:r>
            <w:fldChar w:fldCharType="separate"/>
          </w:r>
          <w:r>
            <w:t>42</w:t>
          </w:r>
          <w:r>
            <w:fldChar w:fldCharType="end"/>
          </w:r>
          <w:r>
            <w:fldChar w:fldCharType="end"/>
          </w:r>
        </w:p>
        <w:p>
          <w:pPr>
            <w:pStyle w:val="22"/>
            <w:tabs>
              <w:tab w:val="right" w:leader="dot" w:pos="8296"/>
            </w:tabs>
            <w:ind w:firstLine="440"/>
            <w:rPr>
              <w:rFonts w:asciiTheme="minorHAnsi" w:hAnsiTheme="minorHAnsi"/>
              <w:kern w:val="2"/>
              <w:sz w:val="21"/>
            </w:rPr>
          </w:pPr>
          <w:r>
            <w:fldChar w:fldCharType="begin"/>
          </w:r>
          <w:r>
            <w:instrText xml:space="preserve"> HYPERLINK \l "_Toc112317355" </w:instrText>
          </w:r>
          <w:r>
            <w:fldChar w:fldCharType="separate"/>
          </w:r>
          <w:r>
            <w:rPr>
              <w:rStyle w:val="32"/>
            </w:rPr>
            <w:t xml:space="preserve">5.7 </w:t>
          </w:r>
          <w:r>
            <w:rPr>
              <w:rStyle w:val="32"/>
              <w:rFonts w:hint="eastAsia"/>
            </w:rPr>
            <w:t>隔舱混凝土浇筑</w:t>
          </w:r>
          <w:r>
            <w:tab/>
          </w:r>
          <w:r>
            <w:fldChar w:fldCharType="begin"/>
          </w:r>
          <w:r>
            <w:instrText xml:space="preserve"> PAGEREF _Toc112317355 \h </w:instrText>
          </w:r>
          <w:r>
            <w:fldChar w:fldCharType="separate"/>
          </w:r>
          <w:r>
            <w:t>44</w:t>
          </w:r>
          <w:r>
            <w:fldChar w:fldCharType="end"/>
          </w:r>
          <w:r>
            <w:fldChar w:fldCharType="end"/>
          </w:r>
        </w:p>
        <w:p>
          <w:pPr>
            <w:pStyle w:val="22"/>
            <w:tabs>
              <w:tab w:val="right" w:leader="dot" w:pos="8296"/>
            </w:tabs>
            <w:ind w:firstLine="440"/>
            <w:rPr>
              <w:rFonts w:asciiTheme="minorHAnsi" w:hAnsiTheme="minorHAnsi"/>
              <w:kern w:val="2"/>
              <w:sz w:val="21"/>
            </w:rPr>
          </w:pPr>
          <w:r>
            <w:fldChar w:fldCharType="begin"/>
          </w:r>
          <w:r>
            <w:instrText xml:space="preserve"> HYPERLINK \l "_Toc112317356" </w:instrText>
          </w:r>
          <w:r>
            <w:fldChar w:fldCharType="separate"/>
          </w:r>
          <w:r>
            <w:rPr>
              <w:rStyle w:val="32"/>
            </w:rPr>
            <w:t xml:space="preserve">5.9 </w:t>
          </w:r>
          <w:r>
            <w:rPr>
              <w:rStyle w:val="32"/>
              <w:rFonts w:hint="eastAsia"/>
            </w:rPr>
            <w:t>沉井下沉施工</w:t>
          </w:r>
          <w:r>
            <w:tab/>
          </w:r>
          <w:r>
            <w:fldChar w:fldCharType="begin"/>
          </w:r>
          <w:r>
            <w:instrText xml:space="preserve"> PAGEREF _Toc112317356 \h </w:instrText>
          </w:r>
          <w:r>
            <w:fldChar w:fldCharType="separate"/>
          </w:r>
          <w:r>
            <w:t>44</w:t>
          </w:r>
          <w:r>
            <w:fldChar w:fldCharType="end"/>
          </w:r>
          <w:r>
            <w:fldChar w:fldCharType="end"/>
          </w:r>
        </w:p>
        <w:p>
          <w:pPr>
            <w:pStyle w:val="18"/>
            <w:ind w:firstLine="440"/>
            <w:rPr>
              <w:rFonts w:asciiTheme="minorHAnsi" w:hAnsiTheme="minorHAnsi"/>
              <w:kern w:val="2"/>
              <w:sz w:val="21"/>
            </w:rPr>
          </w:pPr>
          <w:r>
            <w:fldChar w:fldCharType="begin"/>
          </w:r>
          <w:r>
            <w:instrText xml:space="preserve"> HYPERLINK \l "_Toc112317357" </w:instrText>
          </w:r>
          <w:r>
            <w:fldChar w:fldCharType="separate"/>
          </w:r>
          <w:r>
            <w:rPr>
              <w:rStyle w:val="32"/>
              <w:b/>
            </w:rPr>
            <w:t>6</w:t>
          </w:r>
          <w:r>
            <w:rPr>
              <w:rStyle w:val="32"/>
            </w:rPr>
            <w:t xml:space="preserve"> </w:t>
          </w:r>
          <w:r>
            <w:rPr>
              <w:rStyle w:val="32"/>
              <w:rFonts w:hint="eastAsia"/>
            </w:rPr>
            <w:t>施工监测与控制</w:t>
          </w:r>
          <w:r>
            <w:tab/>
          </w:r>
          <w:r>
            <w:fldChar w:fldCharType="begin"/>
          </w:r>
          <w:r>
            <w:instrText xml:space="preserve"> PAGEREF _Toc112317357 \h </w:instrText>
          </w:r>
          <w:r>
            <w:fldChar w:fldCharType="separate"/>
          </w:r>
          <w:r>
            <w:t>46</w:t>
          </w:r>
          <w:r>
            <w:fldChar w:fldCharType="end"/>
          </w:r>
          <w:r>
            <w:fldChar w:fldCharType="end"/>
          </w:r>
        </w:p>
        <w:p>
          <w:pPr>
            <w:pStyle w:val="22"/>
            <w:tabs>
              <w:tab w:val="right" w:leader="dot" w:pos="8296"/>
            </w:tabs>
            <w:ind w:firstLine="440"/>
            <w:rPr>
              <w:rFonts w:asciiTheme="minorHAnsi" w:hAnsiTheme="minorHAnsi"/>
              <w:kern w:val="2"/>
              <w:sz w:val="21"/>
            </w:rPr>
          </w:pPr>
          <w:r>
            <w:fldChar w:fldCharType="begin"/>
          </w:r>
          <w:r>
            <w:instrText xml:space="preserve"> HYPERLINK \l "_Toc112317358" </w:instrText>
          </w:r>
          <w:r>
            <w:fldChar w:fldCharType="separate"/>
          </w:r>
          <w:r>
            <w:rPr>
              <w:rStyle w:val="32"/>
            </w:rPr>
            <w:t xml:space="preserve">6.1 </w:t>
          </w:r>
          <w:r>
            <w:rPr>
              <w:rStyle w:val="32"/>
              <w:rFonts w:hint="eastAsia"/>
            </w:rPr>
            <w:t>一般规定</w:t>
          </w:r>
          <w:r>
            <w:tab/>
          </w:r>
          <w:r>
            <w:fldChar w:fldCharType="begin"/>
          </w:r>
          <w:r>
            <w:instrText xml:space="preserve"> PAGEREF _Toc112317358 \h </w:instrText>
          </w:r>
          <w:r>
            <w:fldChar w:fldCharType="separate"/>
          </w:r>
          <w:r>
            <w:t>46</w:t>
          </w:r>
          <w:r>
            <w:fldChar w:fldCharType="end"/>
          </w:r>
          <w:r>
            <w:fldChar w:fldCharType="end"/>
          </w:r>
        </w:p>
        <w:p>
          <w:pPr>
            <w:pStyle w:val="22"/>
            <w:tabs>
              <w:tab w:val="right" w:leader="dot" w:pos="8296"/>
            </w:tabs>
            <w:ind w:firstLine="440"/>
            <w:rPr>
              <w:rFonts w:asciiTheme="minorHAnsi" w:hAnsiTheme="minorHAnsi"/>
              <w:kern w:val="2"/>
              <w:sz w:val="21"/>
            </w:rPr>
          </w:pPr>
          <w:r>
            <w:fldChar w:fldCharType="begin"/>
          </w:r>
          <w:r>
            <w:instrText xml:space="preserve"> HYPERLINK \l "_Toc112317359" </w:instrText>
          </w:r>
          <w:r>
            <w:fldChar w:fldCharType="separate"/>
          </w:r>
          <w:r>
            <w:rPr>
              <w:rStyle w:val="32"/>
            </w:rPr>
            <w:t xml:space="preserve">6.2 </w:t>
          </w:r>
          <w:r>
            <w:rPr>
              <w:rStyle w:val="32"/>
              <w:rFonts w:hint="eastAsia"/>
            </w:rPr>
            <w:t>监测与报警</w:t>
          </w:r>
          <w:r>
            <w:tab/>
          </w:r>
          <w:r>
            <w:fldChar w:fldCharType="begin"/>
          </w:r>
          <w:r>
            <w:instrText xml:space="preserve"> PAGEREF _Toc112317359 \h </w:instrText>
          </w:r>
          <w:r>
            <w:fldChar w:fldCharType="separate"/>
          </w:r>
          <w:r>
            <w:t>46</w:t>
          </w:r>
          <w:r>
            <w:fldChar w:fldCharType="end"/>
          </w:r>
          <w:r>
            <w:fldChar w:fldCharType="end"/>
          </w:r>
        </w:p>
        <w:p>
          <w:pPr>
            <w:pStyle w:val="18"/>
            <w:ind w:firstLine="0" w:firstLineChars="0"/>
            <w:rPr>
              <w:rFonts w:cs="Times New Roman"/>
            </w:rPr>
          </w:pPr>
          <w:r>
            <w:rPr>
              <w:rFonts w:cs="Times New Roman"/>
            </w:rPr>
            <w:fldChar w:fldCharType="end"/>
          </w:r>
        </w:p>
      </w:sdtContent>
    </w:sdt>
    <w:p>
      <w:pPr>
        <w:ind w:firstLine="480"/>
        <w:rPr>
          <w:rFonts w:eastAsia="宋体" w:cs="Times New Roman"/>
        </w:rPr>
      </w:pPr>
      <w:r>
        <w:rPr>
          <w:rFonts w:eastAsia="宋体" w:cs="Times New Roman"/>
        </w:rPr>
        <w:br w:type="page"/>
      </w:r>
    </w:p>
    <w:p>
      <w:pPr>
        <w:pStyle w:val="2"/>
        <w:sectPr>
          <w:footerReference r:id="rId11" w:type="default"/>
          <w:footerReference r:id="rId12" w:type="even"/>
          <w:pgSz w:w="11906" w:h="16838"/>
          <w:pgMar w:top="1440" w:right="1800" w:bottom="1440" w:left="1800" w:header="851" w:footer="992" w:gutter="0"/>
          <w:pgNumType w:start="1"/>
          <w:cols w:space="425" w:num="1"/>
          <w:docGrid w:type="lines" w:linePitch="312" w:charSpace="0"/>
        </w:sectPr>
      </w:pPr>
    </w:p>
    <w:p>
      <w:pPr>
        <w:pStyle w:val="2"/>
      </w:pPr>
      <w:bookmarkStart w:id="3" w:name="_Toc112317313"/>
      <w:r>
        <w:rPr>
          <w:rFonts w:hint="eastAsia"/>
        </w:rPr>
        <w:t>总则</w:t>
      </w:r>
      <w:bookmarkEnd w:id="3"/>
    </w:p>
    <w:p>
      <w:pPr>
        <w:ind w:firstLine="0" w:firstLineChars="0"/>
      </w:pPr>
      <w:r>
        <w:rPr>
          <w:b/>
        </w:rPr>
        <w:t xml:space="preserve">1.0.1  </w:t>
      </w:r>
      <w:r>
        <w:rPr>
          <w:rFonts w:hint="eastAsia"/>
        </w:rPr>
        <w:t>为了保证桥梁水中大型沉井基础施工安全与质量，促进项目施工规范化、标准化，制定本规程。</w:t>
      </w:r>
    </w:p>
    <w:p>
      <w:pPr>
        <w:ind w:firstLine="0" w:firstLineChars="0"/>
      </w:pPr>
      <w:r>
        <w:rPr>
          <w:b/>
        </w:rPr>
        <w:t xml:space="preserve">1.0.2  </w:t>
      </w:r>
      <w:r>
        <w:rPr>
          <w:rFonts w:hint="eastAsia"/>
        </w:rPr>
        <w:t>本规程适用于水中大型沉井基础工程施工，其他沉井工程可参考借鉴本规程。</w:t>
      </w:r>
    </w:p>
    <w:p>
      <w:pPr>
        <w:ind w:firstLine="0" w:firstLineChars="0"/>
        <w:rPr>
          <w:rFonts w:eastAsia="宋体" w:cs="Times New Roman"/>
          <w:b/>
          <w:bCs/>
          <w:szCs w:val="24"/>
        </w:rPr>
      </w:pPr>
      <w:r>
        <w:rPr>
          <w:rFonts w:hint="eastAsia" w:eastAsia="宋体" w:cs="Times New Roman"/>
          <w:b/>
          <w:bCs/>
          <w:szCs w:val="24"/>
        </w:rPr>
        <w:t>1</w:t>
      </w:r>
      <w:r>
        <w:rPr>
          <w:rFonts w:eastAsia="宋体" w:cs="Times New Roman"/>
          <w:b/>
          <w:bCs/>
          <w:szCs w:val="24"/>
        </w:rPr>
        <w:t xml:space="preserve">.0.3  </w:t>
      </w:r>
      <w:r>
        <w:rPr>
          <w:rFonts w:hint="eastAsia" w:eastAsia="宋体" w:cs="Times New Roman"/>
          <w:bCs/>
          <w:szCs w:val="24"/>
        </w:rPr>
        <w:t>沉井基础施工应符合设计文件的规定，满足安全、耐久、节能的要求，并应文明施工。</w:t>
      </w:r>
    </w:p>
    <w:p>
      <w:pPr>
        <w:ind w:firstLine="0" w:firstLineChars="0"/>
        <w:rPr>
          <w:rFonts w:eastAsia="宋体" w:cs="Times New Roman"/>
          <w:szCs w:val="24"/>
        </w:rPr>
      </w:pPr>
      <w:r>
        <w:rPr>
          <w:rFonts w:eastAsia="宋体" w:cs="Times New Roman"/>
          <w:b/>
          <w:szCs w:val="24"/>
        </w:rPr>
        <w:t xml:space="preserve">1.0.4  </w:t>
      </w:r>
      <w:r>
        <w:rPr>
          <w:rFonts w:hint="eastAsia" w:eastAsia="宋体" w:cs="Times New Roman"/>
          <w:szCs w:val="24"/>
        </w:rPr>
        <w:t>沉井施工时的安全技术、环境保护必须符合有关法律法规和相关规程。</w:t>
      </w:r>
    </w:p>
    <w:p>
      <w:pPr>
        <w:ind w:firstLine="0" w:firstLineChars="0"/>
        <w:rPr>
          <w:rFonts w:eastAsia="宋体" w:cs="Times New Roman"/>
          <w:b/>
          <w:bCs/>
          <w:szCs w:val="24"/>
        </w:rPr>
      </w:pPr>
      <w:r>
        <w:rPr>
          <w:rFonts w:hint="eastAsia" w:eastAsia="宋体" w:cs="Times New Roman"/>
          <w:b/>
          <w:bCs/>
          <w:szCs w:val="24"/>
        </w:rPr>
        <w:t>1</w:t>
      </w:r>
      <w:r>
        <w:rPr>
          <w:rFonts w:eastAsia="宋体" w:cs="Times New Roman"/>
          <w:b/>
          <w:bCs/>
          <w:szCs w:val="24"/>
        </w:rPr>
        <w:t xml:space="preserve">.0.5  </w:t>
      </w:r>
      <w:r>
        <w:rPr>
          <w:rFonts w:hint="eastAsia" w:eastAsia="宋体" w:cs="Times New Roman"/>
          <w:bCs/>
          <w:szCs w:val="24"/>
        </w:rPr>
        <w:t>桥梁水中沉井基础施工应积极推广使用可靠的新技术、新工艺、新材料和新设备。</w:t>
      </w:r>
    </w:p>
    <w:p>
      <w:pPr>
        <w:ind w:firstLine="0" w:firstLineChars="0"/>
        <w:rPr>
          <w:rFonts w:eastAsia="宋体" w:cs="Times New Roman"/>
          <w:szCs w:val="24"/>
        </w:rPr>
        <w:sectPr>
          <w:footerReference r:id="rId13" w:type="default"/>
          <w:type w:val="continuous"/>
          <w:pgSz w:w="11906" w:h="16838"/>
          <w:pgMar w:top="1440" w:right="1800" w:bottom="1440" w:left="1800" w:header="851" w:footer="992" w:gutter="0"/>
          <w:pgNumType w:start="1"/>
          <w:cols w:space="425" w:num="1"/>
          <w:docGrid w:type="lines" w:linePitch="312" w:charSpace="0"/>
        </w:sectPr>
      </w:pPr>
      <w:r>
        <w:rPr>
          <w:rFonts w:eastAsia="宋体" w:cs="Times New Roman"/>
          <w:b/>
          <w:szCs w:val="24"/>
        </w:rPr>
        <w:t xml:space="preserve">1.0.6  </w:t>
      </w:r>
      <w:r>
        <w:rPr>
          <w:rFonts w:hint="eastAsia" w:eastAsia="宋体" w:cs="Times New Roman"/>
          <w:bCs/>
          <w:szCs w:val="24"/>
        </w:rPr>
        <w:t>桥梁沉井基础的施工，</w:t>
      </w:r>
      <w:r>
        <w:rPr>
          <w:rFonts w:hint="eastAsia" w:eastAsia="宋体" w:cs="Times New Roman"/>
          <w:szCs w:val="24"/>
        </w:rPr>
        <w:t>除应符合本规程的规定外，尚应符合国家及行业现行有关标准的规定。</w:t>
      </w:r>
    </w:p>
    <w:p>
      <w:pPr>
        <w:pStyle w:val="2"/>
      </w:pPr>
      <w:bookmarkStart w:id="4" w:name="_Toc112317314"/>
      <w:r>
        <w:rPr>
          <w:rFonts w:hint="eastAsia"/>
        </w:rPr>
        <w:t>术语和符号</w:t>
      </w:r>
      <w:bookmarkEnd w:id="4"/>
    </w:p>
    <w:p>
      <w:pPr>
        <w:pStyle w:val="3"/>
        <w:spacing w:before="326"/>
      </w:pPr>
      <w:bookmarkStart w:id="5" w:name="_Toc112317315"/>
      <w:r>
        <w:rPr>
          <w:rFonts w:hint="eastAsia"/>
        </w:rPr>
        <w:t>术语</w:t>
      </w:r>
      <w:bookmarkEnd w:id="5"/>
    </w:p>
    <w:p>
      <w:pPr>
        <w:pStyle w:val="4"/>
      </w:pPr>
      <w:bookmarkStart w:id="6" w:name="_Toc77763441"/>
      <w:bookmarkStart w:id="7" w:name="_Toc104109391"/>
      <w:bookmarkStart w:id="8" w:name="_Toc71191346"/>
      <w:r>
        <w:rPr>
          <w:rFonts w:hint="eastAsia"/>
        </w:rPr>
        <w:t>水中沉井</w:t>
      </w:r>
      <w:r>
        <w:t xml:space="preserve"> open caisson</w:t>
      </w:r>
      <w:bookmarkEnd w:id="6"/>
      <w:bookmarkEnd w:id="7"/>
      <w:bookmarkEnd w:id="8"/>
    </w:p>
    <w:p>
      <w:pPr>
        <w:ind w:firstLine="480"/>
      </w:pPr>
      <w:r>
        <w:rPr>
          <w:rFonts w:hint="eastAsia"/>
        </w:rPr>
        <w:t>位于</w:t>
      </w:r>
      <w:r>
        <w:t>江、河、湖、海中，</w:t>
      </w:r>
      <w:r>
        <w:rPr>
          <w:rFonts w:hint="eastAsia"/>
        </w:rPr>
        <w:t>上下敞口带刃脚的空心井筒状结构，依靠自重或配以助沉措施下沉至设计标高处，以井筒作为结构的基础。</w:t>
      </w:r>
    </w:p>
    <w:p>
      <w:pPr>
        <w:pStyle w:val="4"/>
      </w:pPr>
      <w:bookmarkStart w:id="9" w:name="_Toc104109392"/>
      <w:bookmarkStart w:id="10" w:name="_Toc77763442"/>
      <w:bookmarkStart w:id="11" w:name="_Toc71191347"/>
      <w:r>
        <w:rPr>
          <w:rFonts w:hint="eastAsia"/>
        </w:rPr>
        <w:t>井壁</w:t>
      </w:r>
      <w:r>
        <w:t xml:space="preserve"> wall</w:t>
      </w:r>
      <w:bookmarkEnd w:id="9"/>
      <w:bookmarkEnd w:id="10"/>
      <w:bookmarkEnd w:id="11"/>
    </w:p>
    <w:p>
      <w:pPr>
        <w:ind w:firstLine="480"/>
      </w:pPr>
      <w:r>
        <w:rPr>
          <w:rFonts w:hint="eastAsia"/>
        </w:rPr>
        <w:t>沉井最外侧用来挡土、挡水的板状结构物。是沉井的主要组成部分，同时要有足够的重量，保证沉井顺利下沉。</w:t>
      </w:r>
    </w:p>
    <w:p>
      <w:pPr>
        <w:pStyle w:val="4"/>
        <w:rPr>
          <w:b/>
        </w:rPr>
      </w:pPr>
      <w:bookmarkStart w:id="12" w:name="_Toc77763443"/>
      <w:bookmarkStart w:id="13" w:name="_Toc104109393"/>
      <w:bookmarkStart w:id="14" w:name="_Toc71191348"/>
      <w:r>
        <w:rPr>
          <w:rFonts w:hint="eastAsia"/>
        </w:rPr>
        <w:t>隔墙</w:t>
      </w:r>
      <w:r>
        <w:t xml:space="preserve"> partition</w:t>
      </w:r>
      <w:bookmarkEnd w:id="12"/>
      <w:bookmarkEnd w:id="13"/>
      <w:bookmarkEnd w:id="14"/>
    </w:p>
    <w:p>
      <w:pPr>
        <w:ind w:firstLine="480"/>
      </w:pPr>
      <w:r>
        <w:rPr>
          <w:rFonts w:hint="eastAsia"/>
        </w:rPr>
        <w:t>沉井内部用来支撑井壁及把沉井分隔成多个井孔的板状结构。是沉井的主要组成部分，同时要有足够的重量，保证沉井顺利下沉。</w:t>
      </w:r>
    </w:p>
    <w:p>
      <w:pPr>
        <w:pStyle w:val="4"/>
        <w:rPr>
          <w:b/>
        </w:rPr>
      </w:pPr>
      <w:bookmarkStart w:id="15" w:name="_Toc71191349"/>
      <w:bookmarkStart w:id="16" w:name="_Toc77763444"/>
      <w:bookmarkStart w:id="17" w:name="_Toc104109394"/>
      <w:r>
        <w:rPr>
          <w:rFonts w:hint="eastAsia"/>
        </w:rPr>
        <w:t>隔舱</w:t>
      </w:r>
      <w:r>
        <w:t xml:space="preserve"> compartment</w:t>
      </w:r>
      <w:bookmarkEnd w:id="15"/>
      <w:bookmarkEnd w:id="16"/>
      <w:bookmarkEnd w:id="17"/>
    </w:p>
    <w:p>
      <w:pPr>
        <w:ind w:firstLine="480"/>
        <w:rPr>
          <w:rFonts w:eastAsia="宋体" w:cs="宋体"/>
          <w:bCs/>
          <w:kern w:val="0"/>
          <w:szCs w:val="27"/>
        </w:rPr>
      </w:pPr>
      <w:bookmarkStart w:id="18" w:name="_Toc104109395"/>
      <w:bookmarkStart w:id="19" w:name="_Toc71191350"/>
      <w:bookmarkStart w:id="20" w:name="_Toc77763445"/>
      <w:r>
        <w:rPr>
          <w:rFonts w:hint="eastAsia"/>
        </w:rPr>
        <w:t>钢沉井井壁、隔墙壁板之间的空间。</w:t>
      </w:r>
    </w:p>
    <w:p>
      <w:pPr>
        <w:pStyle w:val="4"/>
      </w:pPr>
      <w:r>
        <w:rPr>
          <w:rFonts w:hint="eastAsia"/>
        </w:rPr>
        <w:t>刃脚</w:t>
      </w:r>
      <w:r>
        <w:t xml:space="preserve"> cutting edge</w:t>
      </w:r>
      <w:bookmarkEnd w:id="18"/>
      <w:bookmarkEnd w:id="19"/>
      <w:bookmarkEnd w:id="20"/>
    </w:p>
    <w:p>
      <w:pPr>
        <w:ind w:firstLine="480"/>
      </w:pPr>
      <w:r>
        <w:rPr>
          <w:rFonts w:hint="eastAsia"/>
        </w:rPr>
        <w:t>设置在沉井井壁及隔墙下端，用来支承沉井重量及切土下沉减少阻力的带有斜面的构造。位于井壁底部的为外刃脚，常采用单斜面构造，位于隔墙底部的为内隔墙刃脚，常采用双斜面构造。</w:t>
      </w:r>
    </w:p>
    <w:p>
      <w:pPr>
        <w:pStyle w:val="4"/>
      </w:pPr>
      <w:bookmarkStart w:id="21" w:name="_Toc77763446"/>
      <w:bookmarkStart w:id="22" w:name="_Toc71191351"/>
      <w:bookmarkStart w:id="23" w:name="_Toc104109396"/>
      <w:r>
        <w:rPr>
          <w:rFonts w:hint="eastAsia"/>
        </w:rPr>
        <w:t>剪力键</w:t>
      </w:r>
      <w:r>
        <w:t xml:space="preserve"> shear key</w:t>
      </w:r>
      <w:bookmarkEnd w:id="21"/>
      <w:bookmarkEnd w:id="22"/>
      <w:bookmarkEnd w:id="23"/>
    </w:p>
    <w:p>
      <w:pPr>
        <w:ind w:firstLine="480"/>
      </w:pPr>
      <w:r>
        <w:rPr>
          <w:rFonts w:hint="eastAsia"/>
        </w:rPr>
        <w:t>设置在沉井井壁或隔墙上的外凸的构造，加强沉井封底与井壁连接的传力结构。</w:t>
      </w:r>
    </w:p>
    <w:p>
      <w:pPr>
        <w:pStyle w:val="4"/>
      </w:pPr>
      <w:bookmarkStart w:id="24" w:name="_Toc104109397"/>
      <w:bookmarkStart w:id="25" w:name="_Toc77763447"/>
      <w:bookmarkStart w:id="26" w:name="_Toc71191352"/>
      <w:r>
        <w:rPr>
          <w:rFonts w:hint="eastAsia"/>
        </w:rPr>
        <w:t>下沉系数</w:t>
      </w:r>
      <w:r>
        <w:t xml:space="preserve"> subsidence factor</w:t>
      </w:r>
      <w:bookmarkEnd w:id="24"/>
      <w:bookmarkEnd w:id="25"/>
      <w:bookmarkEnd w:id="26"/>
    </w:p>
    <w:p>
      <w:pPr>
        <w:ind w:firstLine="480"/>
      </w:pPr>
      <w:r>
        <w:rPr>
          <w:rFonts w:hint="eastAsia"/>
        </w:rPr>
        <w:t>沉井有效重量与侧壁阻力及端阻力之和的比值，用来评估沉井下沉的主要参数之一。</w:t>
      </w:r>
    </w:p>
    <w:p>
      <w:pPr>
        <w:pStyle w:val="4"/>
      </w:pPr>
      <w:bookmarkStart w:id="27" w:name="_Toc104109398"/>
      <w:bookmarkStart w:id="28" w:name="_Toc71191353"/>
      <w:bookmarkStart w:id="29" w:name="_Toc77763448"/>
      <w:r>
        <w:rPr>
          <w:rFonts w:hint="eastAsia"/>
        </w:rPr>
        <w:t>首节</w:t>
      </w:r>
      <w:r>
        <w:t xml:space="preserve"> first</w:t>
      </w:r>
      <w:bookmarkEnd w:id="27"/>
      <w:bookmarkEnd w:id="28"/>
      <w:bookmarkEnd w:id="29"/>
      <w:r>
        <w:t xml:space="preserve"> segment</w:t>
      </w:r>
    </w:p>
    <w:p>
      <w:pPr>
        <w:ind w:firstLine="480"/>
      </w:pPr>
      <w:r>
        <w:rPr>
          <w:rFonts w:hint="eastAsia"/>
        </w:rPr>
        <w:t>采用分段制造和安装（浇筑）的沉井，浮运定位时具有一定高度、由一节或若干设计节段组成的沉井结构。</w:t>
      </w:r>
    </w:p>
    <w:p>
      <w:pPr>
        <w:pStyle w:val="4"/>
      </w:pPr>
      <w:bookmarkStart w:id="30" w:name="_Toc77763449"/>
      <w:bookmarkStart w:id="31" w:name="_Toc104109399"/>
      <w:bookmarkStart w:id="32" w:name="_Toc71191354"/>
      <w:r>
        <w:rPr>
          <w:rFonts w:hint="eastAsia"/>
        </w:rPr>
        <w:t>浮运</w:t>
      </w:r>
      <w:r>
        <w:t xml:space="preserve">稳性 </w:t>
      </w:r>
      <w:bookmarkEnd w:id="30"/>
      <w:bookmarkEnd w:id="31"/>
      <w:bookmarkEnd w:id="32"/>
      <w:r>
        <w:t>floating stability</w:t>
      </w:r>
    </w:p>
    <w:p>
      <w:pPr>
        <w:ind w:firstLine="480"/>
      </w:pPr>
      <w:r>
        <w:rPr>
          <w:rFonts w:hint="eastAsia"/>
        </w:rPr>
        <w:t>沉井浮运过程中，受到风、浪、流等外界扰动后其运动能保持在有限边界的区域内或回复到原平衡状态的性能。</w:t>
      </w:r>
    </w:p>
    <w:p>
      <w:pPr>
        <w:pStyle w:val="4"/>
      </w:pPr>
      <w:bookmarkStart w:id="33" w:name="_Toc104109400"/>
      <w:bookmarkStart w:id="34" w:name="_Toc71191355"/>
      <w:bookmarkStart w:id="35" w:name="_Toc77763450"/>
      <w:r>
        <w:rPr>
          <w:rFonts w:hint="eastAsia"/>
        </w:rPr>
        <w:t>空气幕减阻法</w:t>
      </w:r>
      <w:r>
        <w:t xml:space="preserve"> air curtain drag reduction</w:t>
      </w:r>
      <w:bookmarkEnd w:id="33"/>
      <w:bookmarkEnd w:id="34"/>
      <w:bookmarkEnd w:id="35"/>
    </w:p>
    <w:p>
      <w:pPr>
        <w:ind w:firstLine="480"/>
      </w:pPr>
      <w:r>
        <w:rPr>
          <w:rFonts w:hint="eastAsia"/>
        </w:rPr>
        <w:t>由预埋在井壁外侧的气孔喷射出高压气流，气流沿井壁外侧上升并形成含有气体与水的液化土层，从而降低井壁与周边土体的摩阻力的一种助沉措施。</w:t>
      </w:r>
    </w:p>
    <w:p>
      <w:pPr>
        <w:pStyle w:val="4"/>
      </w:pPr>
      <w:bookmarkStart w:id="36" w:name="_Toc104109401"/>
      <w:bookmarkStart w:id="37" w:name="_Toc77763451"/>
      <w:r>
        <w:rPr>
          <w:rFonts w:hint="eastAsia"/>
        </w:rPr>
        <w:t xml:space="preserve">沉井浮运 </w:t>
      </w:r>
      <w:r>
        <w:t>open caisson floating</w:t>
      </w:r>
      <w:bookmarkEnd w:id="36"/>
      <w:bookmarkEnd w:id="37"/>
    </w:p>
    <w:p>
      <w:pPr>
        <w:ind w:firstLine="480"/>
      </w:pPr>
      <w:r>
        <w:rPr>
          <w:rFonts w:hint="eastAsia"/>
        </w:rPr>
        <w:t>借助水浮力把自浮状态的沉井拖运至墩位处的施工方法。</w:t>
      </w:r>
    </w:p>
    <w:p>
      <w:pPr>
        <w:pStyle w:val="4"/>
      </w:pPr>
      <w:r>
        <w:rPr>
          <w:rFonts w:hint="eastAsia"/>
        </w:rPr>
        <w:t xml:space="preserve">干舷高度 </w:t>
      </w:r>
      <w:r>
        <w:t>freeboard</w:t>
      </w:r>
    </w:p>
    <w:p>
      <w:pPr>
        <w:ind w:firstLine="480"/>
      </w:pPr>
      <w:r>
        <w:rPr>
          <w:rFonts w:hint="eastAsia"/>
        </w:rPr>
        <w:t>水面距离水中沉井结构顶面的最小高度。</w:t>
      </w:r>
    </w:p>
    <w:p>
      <w:pPr>
        <w:pStyle w:val="4"/>
      </w:pPr>
      <w:bookmarkStart w:id="38" w:name="_Toc104109402"/>
      <w:bookmarkStart w:id="39" w:name="_Toc77763452"/>
      <w:r>
        <w:rPr>
          <w:rFonts w:hint="eastAsia"/>
        </w:rPr>
        <w:t xml:space="preserve">沉井着床 </w:t>
      </w:r>
      <w:r>
        <w:t xml:space="preserve">open </w:t>
      </w:r>
      <w:r>
        <w:rPr>
          <w:rFonts w:hint="eastAsia"/>
        </w:rPr>
        <w:t>caisson imbedding</w:t>
      </w:r>
      <w:bookmarkEnd w:id="38"/>
      <w:bookmarkEnd w:id="39"/>
    </w:p>
    <w:p>
      <w:pPr>
        <w:ind w:firstLine="480"/>
      </w:pPr>
      <w:r>
        <w:rPr>
          <w:rFonts w:hint="eastAsia"/>
        </w:rPr>
        <w:t>向漂浮</w:t>
      </w:r>
      <w:r>
        <w:t>在水中的沉井隔舱内注水</w:t>
      </w:r>
      <w:r>
        <w:rPr>
          <w:rFonts w:hint="eastAsia"/>
        </w:rPr>
        <w:t>或压载，</w:t>
      </w:r>
      <w:r>
        <w:t>使沉井下沉，</w:t>
      </w:r>
      <w:r>
        <w:rPr>
          <w:rFonts w:hint="eastAsia"/>
        </w:rPr>
        <w:t>刃脚</w:t>
      </w:r>
      <w:r>
        <w:t>嵌入河床泥面</w:t>
      </w:r>
      <w:r>
        <w:rPr>
          <w:rFonts w:hint="eastAsia"/>
        </w:rPr>
        <w:t>的过程</w:t>
      </w:r>
      <w:r>
        <w:t>。</w:t>
      </w:r>
    </w:p>
    <w:p>
      <w:pPr>
        <w:pStyle w:val="4"/>
        <w:rPr>
          <w:rFonts w:cs="Times New Roman"/>
          <w:szCs w:val="24"/>
        </w:rPr>
      </w:pPr>
      <w:bookmarkStart w:id="40" w:name="_Toc104109403"/>
      <w:bookmarkStart w:id="41" w:name="_Toc77763453"/>
      <w:r>
        <w:rPr>
          <w:rFonts w:hint="eastAsia"/>
        </w:rPr>
        <w:t>取土盲区dig</w:t>
      </w:r>
      <w:r>
        <w:t>ging</w:t>
      </w:r>
      <w:r>
        <w:rPr>
          <w:rFonts w:hint="eastAsia"/>
        </w:rPr>
        <w:t xml:space="preserve"> </w:t>
      </w:r>
      <w:r>
        <w:t>blind area</w:t>
      </w:r>
      <w:bookmarkEnd w:id="40"/>
      <w:bookmarkEnd w:id="41"/>
    </w:p>
    <w:p>
      <w:pPr>
        <w:ind w:firstLine="480"/>
      </w:pPr>
      <w:r>
        <w:rPr>
          <w:rFonts w:hint="eastAsia"/>
        </w:rPr>
        <w:t>井壁、隔墙及剪力键范围内垂直取土设备无法直接取土的</w:t>
      </w:r>
      <w:r>
        <w:t>区域</w:t>
      </w:r>
      <w:r>
        <w:rPr>
          <w:rFonts w:hint="eastAsia"/>
        </w:rPr>
        <w:t>。</w:t>
      </w:r>
    </w:p>
    <w:p>
      <w:pPr>
        <w:pStyle w:val="3"/>
        <w:spacing w:before="326"/>
      </w:pPr>
      <w:bookmarkStart w:id="42" w:name="_Toc71191358"/>
      <w:bookmarkEnd w:id="42"/>
      <w:bookmarkStart w:id="43" w:name="_Toc71190746"/>
      <w:bookmarkEnd w:id="43"/>
      <w:bookmarkStart w:id="44" w:name="_Toc112317316"/>
      <w:r>
        <w:rPr>
          <w:rFonts w:hint="eastAsia"/>
        </w:rPr>
        <w:t>符号</w:t>
      </w:r>
      <w:bookmarkEnd w:id="44"/>
      <w:bookmarkStart w:id="45" w:name="_Toc77763455"/>
      <w:bookmarkStart w:id="46" w:name="_Toc71191360"/>
    </w:p>
    <w:p>
      <w:pPr>
        <w:pStyle w:val="4"/>
        <w:rPr>
          <w:rFonts w:cs="Times New Roman"/>
        </w:rPr>
      </w:pPr>
      <w:bookmarkStart w:id="47" w:name="_Toc104109405"/>
      <w:r>
        <w:rPr>
          <w:rFonts w:hint="eastAsia"/>
        </w:rPr>
        <w:t>作用及作用效应</w:t>
      </w:r>
      <w:bookmarkEnd w:id="45"/>
      <w:bookmarkEnd w:id="46"/>
      <w:bookmarkEnd w:id="47"/>
    </w:p>
    <w:p>
      <w:pPr>
        <w:ind w:firstLine="480"/>
      </w:pPr>
      <m:oMath>
        <m:sSub>
          <m:sSubPr>
            <m:ctrlPr>
              <w:rPr>
                <w:rFonts w:ascii="Cambria Math" w:hAnsi="Cambria Math"/>
                <w:i/>
              </w:rPr>
            </m:ctrlPr>
          </m:sSubPr>
          <m:e>
            <m:r>
              <m:rPr/>
              <w:rPr>
                <w:rFonts w:ascii="Cambria Math"/>
              </w:rPr>
              <m:t>f</m:t>
            </m:r>
            <m:ctrlPr>
              <w:rPr>
                <w:rFonts w:ascii="Cambria Math" w:hAnsi="Cambria Math"/>
                <w:i/>
              </w:rPr>
            </m:ctrlPr>
          </m:e>
          <m:sub>
            <m:r>
              <m:rPr/>
              <w:rPr>
                <w:rFonts w:hint="eastAsia" w:ascii="Cambria Math"/>
              </w:rPr>
              <m:t>s</m:t>
            </m:r>
            <m:ctrlPr>
              <w:rPr>
                <w:rFonts w:ascii="Cambria Math" w:hAnsi="Cambria Math"/>
                <w:i/>
              </w:rPr>
            </m:ctrlPr>
          </m:sub>
        </m:sSub>
      </m:oMath>
      <w:r>
        <w:rPr>
          <w:rFonts w:cs="Times New Roman"/>
          <w:sz w:val="21"/>
        </w:rPr>
        <w:t>——</w:t>
      </w:r>
      <w:r>
        <w:rPr>
          <w:rFonts w:hint="eastAsia"/>
        </w:rPr>
        <w:t>摩阻力极限值；</w:t>
      </w:r>
    </w:p>
    <w:p>
      <w:pPr>
        <w:ind w:firstLine="480"/>
      </w:pPr>
      <m:oMath>
        <m:sSub>
          <m:sSubPr>
            <m:ctrlPr>
              <w:rPr>
                <w:rFonts w:ascii="Cambria Math" w:hAnsi="Cambria Math"/>
                <w:i/>
              </w:rPr>
            </m:ctrlPr>
          </m:sSubPr>
          <m:e>
            <m:r>
              <m:rPr/>
              <w:rPr>
                <w:rFonts w:ascii="Cambria Math"/>
              </w:rPr>
              <m:t>f</m:t>
            </m:r>
            <m:ctrlPr>
              <w:rPr>
                <w:rFonts w:ascii="Cambria Math" w:hAnsi="Cambria Math"/>
                <w:i/>
              </w:rPr>
            </m:ctrlPr>
          </m:e>
          <m:sub>
            <m:r>
              <m:rPr/>
              <w:rPr>
                <w:rFonts w:ascii="Cambria Math"/>
              </w:rPr>
              <m:t>u</m:t>
            </m:r>
            <m:ctrlPr>
              <w:rPr>
                <w:rFonts w:ascii="Cambria Math" w:hAnsi="Cambria Math"/>
                <w:i/>
              </w:rPr>
            </m:ctrlPr>
          </m:sub>
        </m:sSub>
      </m:oMath>
      <w:r>
        <w:rPr>
          <w:rFonts w:cs="Times New Roman"/>
          <w:sz w:val="21"/>
        </w:rPr>
        <w:t>——</w:t>
      </w:r>
      <w:r>
        <w:rPr>
          <w:rFonts w:hint="eastAsia"/>
        </w:rPr>
        <w:t>地基承载力极限值；</w:t>
      </w:r>
    </w:p>
    <w:p>
      <w:pPr>
        <w:ind w:firstLine="480"/>
      </w:pPr>
      <m:oMath>
        <m:r>
          <m:rPr/>
          <w:rPr>
            <w:rFonts w:hint="eastAsia" w:ascii="Cambria Math"/>
          </w:rPr>
          <m:t>F</m:t>
        </m:r>
      </m:oMath>
      <w:r>
        <w:rPr>
          <w:rFonts w:cs="Times New Roman"/>
          <w:sz w:val="21"/>
        </w:rPr>
        <w:t>——</w:t>
      </w:r>
      <w:r>
        <w:rPr>
          <w:rFonts w:hint="eastAsia"/>
        </w:rPr>
        <w:t>新浇筑混凝土对沉井壁板的侧压力；</w:t>
      </w:r>
    </w:p>
    <w:p>
      <w:pPr>
        <w:ind w:firstLine="480"/>
      </w:pPr>
      <m:oMath>
        <m:sSub>
          <m:sSubPr>
            <m:ctrlPr>
              <w:rPr>
                <w:rFonts w:ascii="Cambria Math" w:hAnsi="Cambria Math"/>
                <w:i/>
              </w:rPr>
            </m:ctrlPr>
          </m:sSubPr>
          <m:e>
            <m:r>
              <m:rPr/>
              <w:rPr>
                <w:rFonts w:ascii="Cambria Math"/>
              </w:rPr>
              <m:t>F</m:t>
            </m:r>
            <m:ctrlPr>
              <w:rPr>
                <w:rFonts w:ascii="Cambria Math" w:hAnsi="Cambria Math"/>
                <w:i/>
              </w:rPr>
            </m:ctrlPr>
          </m:e>
          <m:sub>
            <m:r>
              <m:rPr/>
              <w:rPr>
                <w:rFonts w:ascii="Cambria Math"/>
              </w:rPr>
              <m:t>b</m:t>
            </m:r>
            <m:ctrlPr>
              <w:rPr>
                <w:rFonts w:ascii="Cambria Math" w:hAnsi="Cambria Math"/>
                <w:i/>
              </w:rPr>
            </m:ctrlPr>
          </m:sub>
        </m:sSub>
      </m:oMath>
      <w:r>
        <w:rPr>
          <w:rFonts w:cs="Times New Roman"/>
          <w:sz w:val="21"/>
        </w:rPr>
        <w:t>——</w:t>
      </w:r>
      <w:r>
        <w:rPr>
          <w:rFonts w:hint="eastAsia"/>
        </w:rPr>
        <w:t>下锚缆拉力水平分力；</w:t>
      </w:r>
    </w:p>
    <w:p>
      <w:pPr>
        <w:ind w:firstLine="480"/>
      </w:pPr>
      <m:oMath>
        <m:sSub>
          <m:sSubPr>
            <m:ctrlPr>
              <w:rPr>
                <w:rFonts w:ascii="Cambria Math" w:hAnsi="Cambria Math"/>
                <w:i/>
              </w:rPr>
            </m:ctrlPr>
          </m:sSubPr>
          <m:e>
            <m:r>
              <m:rPr/>
              <w:rPr>
                <w:rFonts w:ascii="Cambria Math"/>
              </w:rPr>
              <m:t>F</m:t>
            </m:r>
            <m:ctrlPr>
              <w:rPr>
                <w:rFonts w:ascii="Cambria Math" w:hAnsi="Cambria Math"/>
                <w:i/>
              </w:rPr>
            </m:ctrlPr>
          </m:e>
          <m:sub>
            <m:r>
              <m:rPr/>
              <w:rPr>
                <w:rFonts w:ascii="Cambria Math"/>
              </w:rPr>
              <m:t>f</m:t>
            </m:r>
            <m:ctrlPr>
              <w:rPr>
                <w:rFonts w:ascii="Cambria Math" w:hAnsi="Cambria Math"/>
                <w:i/>
              </w:rPr>
            </m:ctrlPr>
          </m:sub>
        </m:sSub>
      </m:oMath>
      <w:r>
        <w:rPr>
          <w:rFonts w:cs="Times New Roman"/>
          <w:sz w:val="21"/>
        </w:rPr>
        <w:t>——</w:t>
      </w:r>
      <w:r>
        <w:rPr>
          <w:rFonts w:hint="eastAsia"/>
        </w:rPr>
        <w:t>作用在沉井（露出水面部分）上的风荷载；</w:t>
      </w:r>
    </w:p>
    <w:p>
      <w:pPr>
        <w:ind w:firstLine="480"/>
      </w:pPr>
      <m:oMath>
        <m:sSub>
          <m:sSubPr>
            <m:ctrlPr>
              <w:rPr>
                <w:rFonts w:ascii="Cambria Math" w:hAnsi="Cambria Math"/>
                <w:i/>
              </w:rPr>
            </m:ctrlPr>
          </m:sSubPr>
          <m:e>
            <m:r>
              <m:rPr/>
              <w:rPr>
                <w:rFonts w:ascii="Cambria Math"/>
              </w:rPr>
              <m:t>F</m:t>
            </m:r>
            <m:ctrlPr>
              <w:rPr>
                <w:rFonts w:ascii="Cambria Math" w:hAnsi="Cambria Math"/>
                <w:i/>
              </w:rPr>
            </m:ctrlPr>
          </m:e>
          <m:sub>
            <m:r>
              <m:rPr/>
              <w:rPr>
                <w:rFonts w:ascii="Cambria Math"/>
              </w:rPr>
              <m:t>l</m:t>
            </m:r>
            <m:ctrlPr>
              <w:rPr>
                <w:rFonts w:ascii="Cambria Math" w:hAnsi="Cambria Math"/>
                <w:i/>
              </w:rPr>
            </m:ctrlPr>
          </m:sub>
        </m:sSub>
      </m:oMath>
      <w:r>
        <w:rPr>
          <w:rFonts w:cs="Times New Roman"/>
          <w:sz w:val="21"/>
        </w:rPr>
        <w:t>——</w:t>
      </w:r>
      <w:r>
        <w:rPr>
          <w:rFonts w:hint="eastAsia"/>
        </w:rPr>
        <w:t>作用在沉井上的波浪力；</w:t>
      </w:r>
    </w:p>
    <w:p>
      <w:pPr>
        <w:ind w:firstLine="480"/>
      </w:pPr>
      <m:oMath>
        <m:sSub>
          <m:sSubPr>
            <m:ctrlPr>
              <w:rPr>
                <w:rFonts w:ascii="Cambria Math" w:hAnsi="Cambria Math"/>
                <w:i/>
              </w:rPr>
            </m:ctrlPr>
          </m:sSubPr>
          <m:e>
            <m:r>
              <m:rPr/>
              <w:rPr>
                <w:rFonts w:hint="eastAsia" w:ascii="Cambria Math" w:hAnsi="Cambria Math"/>
              </w:rPr>
              <m:t>F</m:t>
            </m:r>
            <m:ctrlPr>
              <w:rPr>
                <w:rFonts w:ascii="Cambria Math" w:hAnsi="Cambria Math"/>
                <w:i/>
              </w:rPr>
            </m:ctrlPr>
          </m:e>
          <m:sub>
            <m:r>
              <m:rPr/>
              <w:rPr>
                <w:rFonts w:ascii="Cambria Math" w:hAnsi="Cambria Math"/>
              </w:rPr>
              <m:t>t</m:t>
            </m:r>
            <m:ctrlPr>
              <w:rPr>
                <w:rFonts w:ascii="Cambria Math" w:hAnsi="Cambria Math"/>
                <w:i/>
              </w:rPr>
            </m:ctrlPr>
          </m:sub>
        </m:sSub>
      </m:oMath>
      <w:r>
        <w:rPr>
          <w:rFonts w:cs="Times New Roman"/>
          <w:sz w:val="21"/>
        </w:rPr>
        <w:t>——</w:t>
      </w:r>
      <w:r>
        <w:rPr>
          <w:rFonts w:hint="eastAsia"/>
        </w:rPr>
        <w:t>上锚缆拉力水平分力；</w:t>
      </w:r>
    </w:p>
    <w:p>
      <w:pPr>
        <w:ind w:firstLine="480"/>
        <w:rPr>
          <w:rFonts w:eastAsia="宋体"/>
          <w:color w:val="FF0000"/>
          <w:szCs w:val="24"/>
          <w:lang w:bidi="en-US"/>
        </w:rPr>
      </w:pPr>
      <m:oMath>
        <m:sSub>
          <m:sSubPr>
            <m:ctrlPr>
              <w:rPr>
                <w:rFonts w:ascii="Cambria Math" w:hAnsi="Cambria Math" w:eastAsia="宋体"/>
                <w:i/>
                <w:szCs w:val="24"/>
              </w:rPr>
            </m:ctrlPr>
          </m:sSubPr>
          <m:e>
            <m:r>
              <m:rPr/>
              <w:rPr>
                <w:rFonts w:ascii="Cambria Math" w:eastAsia="宋体"/>
                <w:szCs w:val="24"/>
              </w:rPr>
              <m:t>F</m:t>
            </m:r>
            <m:ctrlPr>
              <w:rPr>
                <w:rFonts w:ascii="Cambria Math" w:hAnsi="Cambria Math" w:eastAsia="宋体"/>
                <w:i/>
                <w:szCs w:val="24"/>
              </w:rPr>
            </m:ctrlPr>
          </m:e>
          <m:sub>
            <m:r>
              <m:rPr/>
              <w:rPr>
                <w:rFonts w:ascii="Cambria Math" w:eastAsia="宋体"/>
                <w:szCs w:val="24"/>
              </w:rPr>
              <m:t>w</m:t>
            </m:r>
            <m:ctrlPr>
              <w:rPr>
                <w:rFonts w:ascii="Cambria Math" w:hAnsi="Cambria Math" w:eastAsia="宋体"/>
                <w:i/>
                <w:szCs w:val="24"/>
              </w:rPr>
            </m:ctrlPr>
          </m:sub>
        </m:sSub>
      </m:oMath>
      <w:r>
        <w:rPr>
          <w:rFonts w:cs="Times New Roman"/>
          <w:sz w:val="21"/>
        </w:rPr>
        <w:t>——</w:t>
      </w:r>
      <w:r>
        <w:rPr>
          <w:rFonts w:hint="eastAsia"/>
        </w:rPr>
        <w:t>下</w:t>
      </w:r>
      <w:r>
        <w:rPr>
          <w:rFonts w:hint="eastAsia" w:eastAsia="宋体"/>
          <w:szCs w:val="24"/>
        </w:rPr>
        <w:t>沉过程中沉井浮力标准值</w:t>
      </w:r>
      <w:r>
        <w:rPr>
          <w:rFonts w:hint="eastAsia" w:eastAsia="宋体"/>
          <w:szCs w:val="24"/>
          <w:lang w:bidi="en-US"/>
        </w:rPr>
        <w:t>；</w:t>
      </w:r>
      <w:r>
        <w:rPr>
          <w:rFonts w:eastAsia="宋体"/>
          <w:color w:val="FF0000"/>
          <w:szCs w:val="24"/>
          <w:lang w:bidi="en-US"/>
        </w:rPr>
        <w:t xml:space="preserve"> </w:t>
      </w:r>
    </w:p>
    <w:p>
      <w:pPr>
        <w:ind w:firstLine="480"/>
        <w:rPr>
          <w:rFonts w:eastAsia="宋体"/>
          <w:szCs w:val="24"/>
        </w:rPr>
      </w:pPr>
      <m:oMath>
        <m:sSub>
          <m:sSubPr>
            <m:ctrlPr>
              <w:rPr>
                <w:rFonts w:ascii="Cambria Math" w:hAnsi="Cambria Math" w:eastAsia="宋体"/>
                <w:i/>
                <w:szCs w:val="24"/>
              </w:rPr>
            </m:ctrlPr>
          </m:sSubPr>
          <m:e>
            <m:r>
              <m:rPr/>
              <w:rPr>
                <w:rFonts w:ascii="Cambria Math" w:eastAsia="宋体"/>
                <w:szCs w:val="24"/>
              </w:rPr>
              <m:t>G</m:t>
            </m:r>
            <m:ctrlPr>
              <w:rPr>
                <w:rFonts w:ascii="Cambria Math" w:hAnsi="Cambria Math" w:eastAsia="宋体"/>
                <w:i/>
                <w:szCs w:val="24"/>
              </w:rPr>
            </m:ctrlPr>
          </m:e>
          <m:sub>
            <m:r>
              <m:rPr/>
              <w:rPr>
                <w:rFonts w:ascii="Cambria Math" w:eastAsia="宋体"/>
                <w:szCs w:val="24"/>
              </w:rPr>
              <m:t>k</m:t>
            </m:r>
            <m:ctrlPr>
              <w:rPr>
                <w:rFonts w:ascii="Cambria Math" w:hAnsi="Cambria Math" w:eastAsia="宋体"/>
                <w:i/>
                <w:szCs w:val="24"/>
              </w:rPr>
            </m:ctrlPr>
          </m:sub>
        </m:sSub>
      </m:oMath>
      <w:r>
        <w:rPr>
          <w:rFonts w:cs="Times New Roman"/>
          <w:sz w:val="21"/>
        </w:rPr>
        <w:t>——</w:t>
      </w:r>
      <w:r>
        <w:rPr>
          <w:rFonts w:hint="eastAsia" w:eastAsia="宋体"/>
          <w:szCs w:val="24"/>
        </w:rPr>
        <w:t>井体自重标准值（包括外加助沉重量的标准值）；</w:t>
      </w:r>
    </w:p>
    <w:p>
      <w:pPr>
        <w:ind w:firstLine="480"/>
        <w:rPr>
          <w:rFonts w:eastAsia="宋体"/>
          <w:szCs w:val="24"/>
        </w:rPr>
      </w:pPr>
      <m:oMath>
        <m:sSub>
          <m:sSubPr>
            <m:ctrlPr>
              <w:rPr>
                <w:rFonts w:ascii="Cambria Math" w:hAnsi="Cambria Math"/>
                <w:i/>
                <w:szCs w:val="24"/>
              </w:rPr>
            </m:ctrlPr>
          </m:sSubPr>
          <m:e>
            <m:r>
              <m:rPr/>
              <w:rPr>
                <w:rFonts w:ascii="Cambria Math"/>
                <w:szCs w:val="24"/>
              </w:rPr>
              <m:t>G</m:t>
            </m:r>
            <m:ctrlPr>
              <w:rPr>
                <w:rFonts w:ascii="Cambria Math" w:hAnsi="Cambria Math"/>
                <w:i/>
                <w:szCs w:val="24"/>
              </w:rPr>
            </m:ctrlPr>
          </m:e>
          <m:sub>
            <m:r>
              <m:rPr>
                <m:nor/>
              </m:rPr>
              <w:rPr>
                <w:rFonts w:ascii="Cambria Math"/>
                <w:i/>
                <w:szCs w:val="24"/>
              </w:rPr>
              <m:t>kc</m:t>
            </m:r>
            <m:ctrlPr>
              <w:rPr>
                <w:rFonts w:ascii="Cambria Math" w:hAnsi="Cambria Math"/>
                <w:i/>
                <w:szCs w:val="24"/>
              </w:rPr>
            </m:ctrlPr>
          </m:sub>
        </m:sSub>
      </m:oMath>
      <w:r>
        <w:rPr>
          <w:rFonts w:cs="Times New Roman"/>
          <w:sz w:val="21"/>
        </w:rPr>
        <w:t>——</w:t>
      </w:r>
      <w:r>
        <w:rPr>
          <w:rFonts w:hint="eastAsia" w:eastAsia="宋体"/>
          <w:szCs w:val="24"/>
        </w:rPr>
        <w:t>接高后的沉井重量；</w:t>
      </w:r>
    </w:p>
    <w:p>
      <w:pPr>
        <w:ind w:firstLine="480"/>
        <w:rPr>
          <w:rFonts w:eastAsia="宋体"/>
          <w:szCs w:val="24"/>
        </w:rPr>
      </w:pPr>
      <m:oMath>
        <m:r>
          <m:rPr/>
          <w:rPr>
            <w:rFonts w:hint="eastAsia" w:ascii="Cambria Math"/>
          </w:rPr>
          <m:t>Q</m:t>
        </m:r>
      </m:oMath>
      <w:r>
        <w:rPr>
          <w:rFonts w:cs="Times New Roman"/>
          <w:sz w:val="21"/>
        </w:rPr>
        <w:t>——</w:t>
      </w:r>
      <w:r>
        <w:rPr>
          <w:rFonts w:hint="eastAsia"/>
        </w:rPr>
        <w:t>水射流流量;</w:t>
      </w:r>
    </w:p>
    <w:p>
      <w:pPr>
        <w:ind w:firstLine="480"/>
        <w:rPr>
          <w:rFonts w:eastAsia="宋体"/>
          <w:szCs w:val="24"/>
          <w:lang w:bidi="en-US"/>
        </w:rPr>
      </w:pPr>
      <m:oMath>
        <m:sSub>
          <m:sSubPr>
            <m:ctrlPr>
              <w:rPr>
                <w:rFonts w:ascii="Cambria Math" w:hAnsi="Cambria Math" w:eastAsia="宋体"/>
                <w:i/>
                <w:szCs w:val="24"/>
              </w:rPr>
            </m:ctrlPr>
          </m:sSubPr>
          <m:e>
            <m:r>
              <m:rPr/>
              <w:rPr>
                <w:rFonts w:ascii="Cambria Math" w:eastAsia="宋体"/>
                <w:szCs w:val="24"/>
              </w:rPr>
              <m:t>T</m:t>
            </m:r>
            <m:ctrlPr>
              <w:rPr>
                <w:rFonts w:ascii="Cambria Math" w:hAnsi="Cambria Math" w:eastAsia="宋体"/>
                <w:i/>
                <w:szCs w:val="24"/>
              </w:rPr>
            </m:ctrlPr>
          </m:e>
          <m:sub>
            <m:r>
              <m:rPr/>
              <w:rPr>
                <w:rFonts w:ascii="Cambria Math" w:eastAsia="宋体"/>
                <w:szCs w:val="24"/>
              </w:rPr>
              <m:t>f</m:t>
            </m:r>
            <m:ctrlPr>
              <w:rPr>
                <w:rFonts w:ascii="Cambria Math" w:hAnsi="Cambria Math" w:eastAsia="宋体"/>
                <w:i/>
                <w:szCs w:val="24"/>
              </w:rPr>
            </m:ctrlPr>
          </m:sub>
        </m:sSub>
      </m:oMath>
      <w:r>
        <w:rPr>
          <w:rFonts w:cs="Times New Roman"/>
          <w:sz w:val="21"/>
        </w:rPr>
        <w:t>——</w:t>
      </w:r>
      <w:r>
        <w:rPr>
          <w:rFonts w:hint="eastAsia" w:eastAsia="宋体"/>
          <w:szCs w:val="24"/>
        </w:rPr>
        <w:t>井壁总侧摩阻力；</w:t>
      </w:r>
    </w:p>
    <w:p>
      <w:pPr>
        <w:pStyle w:val="4"/>
      </w:pPr>
      <w:bookmarkStart w:id="48" w:name="_Toc104109406"/>
      <w:r>
        <w:rPr>
          <w:rFonts w:hint="eastAsia"/>
        </w:rPr>
        <w:t>几何系数</w:t>
      </w:r>
      <w:bookmarkEnd w:id="48"/>
    </w:p>
    <w:p>
      <w:pPr>
        <w:ind w:firstLine="480"/>
      </w:pPr>
      <m:oMath>
        <m:sSub>
          <m:sSubPr>
            <m:ctrlPr>
              <w:rPr>
                <w:rFonts w:ascii="Cambria Math" w:hAnsi="Cambria Math"/>
                <w:i/>
              </w:rPr>
            </m:ctrlPr>
          </m:sSubPr>
          <m:e>
            <m:r>
              <m:rPr/>
              <w:rPr>
                <w:rFonts w:ascii="Cambria Math"/>
              </w:rPr>
              <m:t>d</m:t>
            </m:r>
            <m:ctrlPr>
              <w:rPr>
                <w:rFonts w:ascii="Cambria Math" w:hAnsi="Cambria Math"/>
                <w:i/>
              </w:rPr>
            </m:ctrlPr>
          </m:e>
          <m:sub>
            <m:r>
              <m:rPr/>
              <w:rPr>
                <w:rFonts w:ascii="Cambria Math"/>
              </w:rPr>
              <m:t>1</m:t>
            </m:r>
            <m:ctrlPr>
              <w:rPr>
                <w:rFonts w:ascii="Cambria Math" w:hAnsi="Cambria Math"/>
                <w:i/>
              </w:rPr>
            </m:ctrlPr>
          </m:sub>
        </m:sSub>
      </m:oMath>
      <w:r>
        <w:rPr>
          <w:rFonts w:cs="Times New Roman"/>
          <w:sz w:val="21"/>
        </w:rPr>
        <w:t>——</w:t>
      </w:r>
      <w:r>
        <w:rPr>
          <w:rFonts w:hint="eastAsia"/>
        </w:rPr>
        <w:t>刃脚底面地基反力的合力作用点至刃脚根部截面中心的距离；</w:t>
      </w:r>
    </w:p>
    <w:p>
      <w:pPr>
        <w:ind w:firstLine="480"/>
      </w:pPr>
      <m:oMath>
        <m:r>
          <m:rPr/>
          <w:rPr>
            <w:rFonts w:hint="eastAsia" w:ascii="Cambria Math" w:hAnsi="Cambria Math"/>
          </w:rPr>
          <m:t>H</m:t>
        </m:r>
      </m:oMath>
      <w:r>
        <w:rPr>
          <w:rFonts w:cs="Times New Roman"/>
          <w:sz w:val="21"/>
        </w:rPr>
        <w:t>——</w:t>
      </w:r>
      <w:r>
        <w:rPr>
          <w:rFonts w:hint="eastAsia"/>
        </w:rPr>
        <w:t>空气吸泥机在水中的埋深；</w:t>
      </w:r>
    </w:p>
    <w:p>
      <w:pPr>
        <w:ind w:firstLine="480"/>
      </w:pPr>
      <m:oMath>
        <m:r>
          <m:rPr/>
          <w:rPr>
            <w:rFonts w:hint="eastAsia" w:ascii="Cambria Math" w:hAnsi="Cambria Math"/>
          </w:rPr>
          <m:t>I</m:t>
        </m:r>
      </m:oMath>
      <w:r>
        <w:rPr>
          <w:rFonts w:cs="Times New Roman"/>
          <w:sz w:val="21"/>
        </w:rPr>
        <w:t>——</w:t>
      </w:r>
      <w:r>
        <w:rPr>
          <w:rFonts w:hint="eastAsia"/>
        </w:rPr>
        <w:t>沉井在水面处的断面对纵向（或横向）中心轴的惯性矩；</w:t>
      </w:r>
    </w:p>
    <w:p>
      <w:pPr>
        <w:ind w:firstLine="480"/>
        <w:rPr>
          <w:rFonts w:eastAsia="宋体"/>
          <w:szCs w:val="24"/>
        </w:rPr>
      </w:pPr>
      <m:oMath>
        <m:r>
          <m:rPr/>
          <w:rPr>
            <w:rFonts w:hint="eastAsia" w:ascii="Cambria Math" w:hAnsi="Cambria Math"/>
          </w:rPr>
          <m:t>m</m:t>
        </m:r>
      </m:oMath>
      <w:r>
        <w:rPr>
          <w:rFonts w:cs="Times New Roman"/>
          <w:sz w:val="21"/>
        </w:rPr>
        <w:t>——</w:t>
      </w:r>
      <w:r>
        <w:rPr>
          <w:rFonts w:hint="eastAsia" w:eastAsia="宋体"/>
          <w:szCs w:val="24"/>
        </w:rPr>
        <w:t>定倾高度；</w:t>
      </w:r>
    </w:p>
    <w:p>
      <w:pPr>
        <w:ind w:firstLine="480"/>
        <w:rPr>
          <w:rFonts w:eastAsia="宋体"/>
          <w:szCs w:val="24"/>
          <w:lang w:bidi="en-US"/>
        </w:rPr>
      </w:pPr>
      <m:oMath>
        <m:sSub>
          <m:sSubPr>
            <m:ctrlPr>
              <w:rPr>
                <w:rFonts w:ascii="Cambria Math" w:hAnsi="Cambria Math" w:eastAsia="宋体"/>
                <w:i/>
                <w:szCs w:val="24"/>
                <w:lang w:bidi="en-US"/>
              </w:rPr>
            </m:ctrlPr>
          </m:sSubPr>
          <m:e>
            <m:r>
              <m:rPr/>
              <w:rPr>
                <w:rFonts w:ascii="Cambria Math" w:eastAsia="宋体"/>
                <w:szCs w:val="24"/>
                <w:lang w:bidi="en-US"/>
              </w:rPr>
              <m:t>V</m:t>
            </m:r>
            <m:ctrlPr>
              <w:rPr>
                <w:rFonts w:ascii="Cambria Math" w:hAnsi="Cambria Math" w:eastAsia="宋体"/>
                <w:i/>
                <w:szCs w:val="24"/>
                <w:lang w:bidi="en-US"/>
              </w:rPr>
            </m:ctrlPr>
          </m:e>
          <m:sub>
            <m:r>
              <m:rPr/>
              <w:rPr>
                <w:rFonts w:ascii="Cambria Math" w:eastAsia="宋体"/>
                <w:szCs w:val="24"/>
                <w:lang w:bidi="en-US"/>
              </w:rPr>
              <m:t>c</m:t>
            </m:r>
            <m:ctrlPr>
              <w:rPr>
                <w:rFonts w:ascii="Cambria Math" w:hAnsi="Cambria Math" w:eastAsia="宋体"/>
                <w:i/>
                <w:szCs w:val="24"/>
                <w:lang w:bidi="en-US"/>
              </w:rPr>
            </m:ctrlPr>
          </m:sub>
        </m:sSub>
      </m:oMath>
      <w:r>
        <w:rPr>
          <w:rFonts w:cs="Times New Roman"/>
          <w:sz w:val="21"/>
        </w:rPr>
        <w:t>——</w:t>
      </w:r>
      <w:r>
        <w:rPr>
          <w:rFonts w:hint="eastAsia" w:eastAsia="宋体"/>
          <w:szCs w:val="24"/>
          <w:lang w:bidi="en-US"/>
        </w:rPr>
        <w:t>混凝土初灌量；</w:t>
      </w:r>
    </w:p>
    <w:p>
      <w:pPr>
        <w:ind w:firstLine="480"/>
      </w:pPr>
      <m:oMath>
        <m:r>
          <m:rPr/>
          <w:rPr>
            <w:rFonts w:ascii="Cambria Math"/>
          </w:rPr>
          <m:t>ρ</m:t>
        </m:r>
      </m:oMath>
      <w:r>
        <w:rPr>
          <w:rFonts w:cs="Times New Roman"/>
          <w:sz w:val="21"/>
        </w:rPr>
        <w:t>——</w:t>
      </w:r>
      <w:r>
        <w:rPr>
          <w:rFonts w:hint="eastAsia"/>
        </w:rPr>
        <w:t>定倾半径；</w:t>
      </w:r>
    </w:p>
    <w:p>
      <w:pPr>
        <w:ind w:firstLine="480"/>
      </w:pPr>
      <m:oMath>
        <m:r>
          <m:rPr/>
          <w:rPr>
            <w:rFonts w:ascii="Cambria Math" w:hAnsi="Cambria Math"/>
          </w:rPr>
          <m:t>φ</m:t>
        </m:r>
      </m:oMath>
      <w:r>
        <w:rPr>
          <w:rFonts w:cs="Times New Roman"/>
          <w:sz w:val="21"/>
        </w:rPr>
        <w:t>——</w:t>
      </w:r>
      <w:r>
        <w:rPr>
          <w:rFonts w:hint="eastAsia"/>
        </w:rPr>
        <w:t>沉井的稳定倾斜角。</w:t>
      </w:r>
    </w:p>
    <w:p>
      <w:pPr>
        <w:pStyle w:val="4"/>
      </w:pPr>
      <w:bookmarkStart w:id="49" w:name="_Toc104109407"/>
      <w:r>
        <w:rPr>
          <w:rFonts w:hint="eastAsia"/>
        </w:rPr>
        <w:t>计算系数</w:t>
      </w:r>
      <w:bookmarkEnd w:id="49"/>
    </w:p>
    <w:p>
      <w:pPr>
        <w:ind w:firstLine="480"/>
      </w:pPr>
      <m:oMath>
        <m:sSub>
          <m:sSubPr>
            <m:ctrlPr>
              <w:rPr>
                <w:rFonts w:ascii="Cambria Math" w:hAnsi="Cambria Math"/>
                <w:i/>
              </w:rPr>
            </m:ctrlPr>
          </m:sSubPr>
          <m:e>
            <m:r>
              <m:rPr/>
              <w:rPr>
                <w:rFonts w:ascii="Cambria Math"/>
              </w:rPr>
              <m:t>k</m:t>
            </m:r>
            <m:ctrlPr>
              <w:rPr>
                <w:rFonts w:ascii="Cambria Math" w:hAnsi="Cambria Math"/>
                <w:i/>
              </w:rPr>
            </m:ctrlPr>
          </m:e>
          <m:sub>
            <m:r>
              <m:rPr/>
              <w:rPr>
                <w:rFonts w:ascii="Cambria Math"/>
              </w:rPr>
              <m:t>0</m:t>
            </m:r>
            <m:ctrlPr>
              <w:rPr>
                <w:rFonts w:ascii="Cambria Math" w:hAnsi="Cambria Math"/>
                <w:i/>
              </w:rPr>
            </m:ctrlPr>
          </m:sub>
        </m:sSub>
      </m:oMath>
      <w:r>
        <w:rPr>
          <w:rFonts w:cs="Times New Roman"/>
          <w:sz w:val="21"/>
        </w:rPr>
        <w:t>——</w:t>
      </w:r>
      <w:r>
        <w:rPr>
          <w:rFonts w:hint="eastAsia"/>
        </w:rPr>
        <w:t>下沉系数；</w:t>
      </w:r>
    </w:p>
    <w:p>
      <w:pPr>
        <w:ind w:firstLine="480"/>
      </w:pPr>
      <w:r>
        <w:rPr>
          <w:position w:val="-10"/>
        </w:rPr>
        <w:object>
          <v:shape id="_x0000_i1025" o:spt="75" type="#_x0000_t75" style="height:17pt;width:12.25pt;" o:ole="t" filled="f" o:preferrelative="t" stroked="f" coordsize="21600,21600">
            <v:path/>
            <v:fill on="f" focussize="0,0"/>
            <v:stroke on="f" joinstyle="miter"/>
            <v:imagedata r:id="rId19" o:title=""/>
            <o:lock v:ext="edit" aspectratio="t"/>
            <w10:wrap type="none"/>
            <w10:anchorlock/>
          </v:shape>
          <o:OLEObject Type="Embed" ProgID="Equation.DSMT4" ShapeID="_x0000_i1025" DrawAspect="Content" ObjectID="_1468075725" r:id="rId18">
            <o:LockedField>false</o:LockedField>
          </o:OLEObject>
        </w:object>
      </w:r>
      <w:r>
        <w:rPr>
          <w:rFonts w:cs="Times New Roman"/>
          <w:sz w:val="21"/>
        </w:rPr>
        <w:t>——</w:t>
      </w:r>
      <w:r>
        <w:rPr>
          <w:rFonts w:hint="eastAsia"/>
        </w:rPr>
        <w:t>稳定系数；</w:t>
      </w:r>
    </w:p>
    <w:p>
      <w:pPr>
        <w:ind w:firstLine="480"/>
        <w:rPr>
          <w:kern w:val="0"/>
          <w:szCs w:val="20"/>
        </w:rPr>
      </w:pPr>
      <m:oMath>
        <m:sSub>
          <m:sSubPr>
            <m:ctrlPr>
              <w:rPr>
                <w:rFonts w:ascii="Cambria Math" w:hAnsi="Cambria Math"/>
                <w:i/>
                <w:kern w:val="0"/>
                <w:szCs w:val="20"/>
              </w:rPr>
            </m:ctrlPr>
          </m:sSubPr>
          <m:e>
            <m:r>
              <m:rPr/>
              <w:rPr>
                <w:rFonts w:ascii="Cambria Math"/>
                <w:kern w:val="0"/>
                <w:szCs w:val="20"/>
              </w:rPr>
              <m:t>K</m:t>
            </m:r>
            <m:ctrlPr>
              <w:rPr>
                <w:rFonts w:ascii="Cambria Math" w:hAnsi="Cambria Math"/>
                <w:i/>
                <w:kern w:val="0"/>
                <w:szCs w:val="20"/>
              </w:rPr>
            </m:ctrlPr>
          </m:e>
          <m:sub>
            <m:r>
              <m:rPr/>
              <w:rPr>
                <w:rFonts w:ascii="Cambria Math"/>
                <w:kern w:val="0"/>
                <w:szCs w:val="20"/>
              </w:rPr>
              <m:t>0</m:t>
            </m:r>
            <m:ctrlPr>
              <w:rPr>
                <w:rFonts w:ascii="Cambria Math" w:hAnsi="Cambria Math"/>
                <w:i/>
                <w:kern w:val="0"/>
                <w:szCs w:val="20"/>
              </w:rPr>
            </m:ctrlPr>
          </m:sub>
        </m:sSub>
      </m:oMath>
      <w:r>
        <w:rPr>
          <w:rFonts w:cs="Times New Roman"/>
          <w:sz w:val="21"/>
        </w:rPr>
        <w:t>——</w:t>
      </w:r>
      <w:r>
        <w:rPr>
          <w:rFonts w:hint="eastAsia"/>
          <w:kern w:val="0"/>
          <w:szCs w:val="20"/>
        </w:rPr>
        <w:t>水平土压力系数；</w:t>
      </w:r>
    </w:p>
    <w:p>
      <w:pPr>
        <w:ind w:firstLine="480"/>
        <w:rPr>
          <w:kern w:val="0"/>
          <w:szCs w:val="20"/>
        </w:rPr>
      </w:pPr>
      <m:oMath>
        <m:r>
          <m:rPr/>
          <w:rPr>
            <w:rFonts w:ascii="Cambria Math"/>
          </w:rPr>
          <m:t>u</m:t>
        </m:r>
      </m:oMath>
      <w:r>
        <w:rPr>
          <w:rFonts w:cs="Times New Roman"/>
          <w:sz w:val="21"/>
        </w:rPr>
        <w:t>——</w:t>
      </w:r>
      <w:r>
        <w:rPr>
          <w:rFonts w:hint="eastAsia"/>
          <w:kern w:val="0"/>
          <w:szCs w:val="20"/>
        </w:rPr>
        <w:t>井壁和土之间的摩擦系数；</w:t>
      </w:r>
    </w:p>
    <w:p>
      <w:pPr>
        <w:ind w:firstLine="480"/>
      </w:pPr>
      <m:oMath>
        <m:r>
          <m:rPr/>
          <w:rPr>
            <w:rFonts w:ascii="Cambria Math"/>
          </w:rPr>
          <m:t>U</m:t>
        </m:r>
      </m:oMath>
      <w:r>
        <w:rPr>
          <w:rFonts w:cs="Times New Roman"/>
          <w:sz w:val="21"/>
        </w:rPr>
        <w:t>——</w:t>
      </w:r>
      <w:r>
        <w:rPr>
          <w:rFonts w:hint="eastAsia"/>
        </w:rPr>
        <w:t>沉井侧壁外围周长。</w:t>
      </w:r>
    </w:p>
    <w:p>
      <w:pPr>
        <w:ind w:firstLine="480"/>
        <w:jc w:val="left"/>
        <w:rPr>
          <w:rFonts w:eastAsia="宋体" w:cs="Times New Roman"/>
          <w:szCs w:val="24"/>
        </w:rPr>
      </w:pPr>
      <w:bookmarkStart w:id="50" w:name="_Toc71191361"/>
      <w:bookmarkStart w:id="51" w:name="_Toc77763456"/>
    </w:p>
    <w:p>
      <w:pPr>
        <w:ind w:firstLine="482"/>
        <w:jc w:val="left"/>
        <w:rPr>
          <w:rFonts w:eastAsia="宋体" w:cs="Times New Roman"/>
          <w:b/>
          <w:szCs w:val="24"/>
        </w:rPr>
        <w:sectPr>
          <w:footerReference r:id="rId14" w:type="even"/>
          <w:pgSz w:w="11906" w:h="16838"/>
          <w:pgMar w:top="1440" w:right="1800" w:bottom="1440" w:left="1800" w:header="851" w:footer="992" w:gutter="0"/>
          <w:cols w:space="425" w:num="1"/>
          <w:docGrid w:type="lines" w:linePitch="326" w:charSpace="0"/>
        </w:sectPr>
      </w:pPr>
    </w:p>
    <w:bookmarkEnd w:id="50"/>
    <w:bookmarkEnd w:id="51"/>
    <w:p>
      <w:pPr>
        <w:pStyle w:val="2"/>
      </w:pPr>
      <w:bookmarkStart w:id="52" w:name="_Toc112317317"/>
      <w:r>
        <w:rPr>
          <w:rFonts w:hint="eastAsia"/>
        </w:rPr>
        <w:t>基本规定</w:t>
      </w:r>
      <w:bookmarkEnd w:id="52"/>
    </w:p>
    <w:p>
      <w:pPr>
        <w:pStyle w:val="77"/>
      </w:pPr>
      <w:r>
        <w:rPr>
          <w:rFonts w:hint="eastAsia"/>
          <w:b/>
          <w:bCs/>
        </w:rPr>
        <w:t>3.</w:t>
      </w:r>
      <w:r>
        <w:rPr>
          <w:b/>
          <w:bCs/>
        </w:rPr>
        <w:t>0</w:t>
      </w:r>
      <w:r>
        <w:rPr>
          <w:rFonts w:hint="eastAsia"/>
          <w:b/>
          <w:bCs/>
        </w:rPr>
        <w:t>.</w:t>
      </w:r>
      <w:r>
        <w:rPr>
          <w:b/>
          <w:bCs/>
        </w:rPr>
        <w:t>1</w:t>
      </w:r>
      <w:r>
        <w:t xml:space="preserve">  </w:t>
      </w:r>
      <w:r>
        <w:rPr>
          <w:rFonts w:hint="eastAsia"/>
        </w:rPr>
        <w:t>沉井工程施工前</w:t>
      </w:r>
      <w:r>
        <w:t>应对</w:t>
      </w:r>
      <w:r>
        <w:rPr>
          <w:rFonts w:hint="eastAsia"/>
        </w:rPr>
        <w:t>墩位处进行详细的地质勘察。</w:t>
      </w:r>
    </w:p>
    <w:p>
      <w:pPr>
        <w:pStyle w:val="77"/>
      </w:pPr>
      <w:r>
        <w:rPr>
          <w:rFonts w:hint="eastAsia"/>
          <w:b/>
          <w:bCs/>
        </w:rPr>
        <w:t>3.</w:t>
      </w:r>
      <w:r>
        <w:rPr>
          <w:b/>
          <w:bCs/>
        </w:rPr>
        <w:t>0</w:t>
      </w:r>
      <w:r>
        <w:rPr>
          <w:rFonts w:hint="eastAsia"/>
          <w:b/>
          <w:bCs/>
        </w:rPr>
        <w:t>.</w:t>
      </w:r>
      <w:r>
        <w:rPr>
          <w:b/>
          <w:bCs/>
        </w:rPr>
        <w:t>2</w:t>
      </w:r>
      <w:r>
        <w:t xml:space="preserve">  </w:t>
      </w:r>
      <w:r>
        <w:rPr>
          <w:rFonts w:hint="eastAsia"/>
        </w:rPr>
        <w:t>沉井工程施工前，应具备下列资料：</w:t>
      </w:r>
    </w:p>
    <w:p>
      <w:pPr>
        <w:ind w:firstLine="482"/>
      </w:pPr>
      <w:r>
        <w:rPr>
          <w:rFonts w:hint="eastAsia"/>
          <w:b/>
          <w:bCs/>
        </w:rPr>
        <w:t>1</w:t>
      </w:r>
      <w:r>
        <w:t xml:space="preserve">  </w:t>
      </w:r>
      <w:r>
        <w:rPr>
          <w:rFonts w:hint="eastAsia"/>
        </w:rPr>
        <w:t>设计施工图；</w:t>
      </w:r>
    </w:p>
    <w:p>
      <w:pPr>
        <w:pStyle w:val="78"/>
        <w:ind w:firstLine="482"/>
      </w:pPr>
      <w:r>
        <w:rPr>
          <w:rFonts w:hint="eastAsia"/>
          <w:b/>
          <w:bCs/>
        </w:rPr>
        <w:t>2</w:t>
      </w:r>
      <w:r>
        <w:t xml:space="preserve">  </w:t>
      </w:r>
      <w:r>
        <w:rPr>
          <w:rFonts w:hint="eastAsia"/>
        </w:rPr>
        <w:t>施工区域内建筑场地的工程地质勘察报告、气象和水文资料；</w:t>
      </w:r>
    </w:p>
    <w:p>
      <w:pPr>
        <w:pStyle w:val="78"/>
        <w:ind w:firstLine="482"/>
      </w:pPr>
      <w:r>
        <w:rPr>
          <w:rFonts w:hint="eastAsia"/>
          <w:b/>
          <w:bCs/>
        </w:rPr>
        <w:t>3</w:t>
      </w:r>
      <w:r>
        <w:rPr>
          <w:rFonts w:hint="eastAsia"/>
          <w:bCs/>
        </w:rPr>
        <w:t xml:space="preserve">  </w:t>
      </w:r>
      <w:r>
        <w:rPr>
          <w:rFonts w:hint="eastAsia"/>
        </w:rPr>
        <w:t>相邻建（构）筑物的图纸，原有地下管线和其他障碍物等相关资料；</w:t>
      </w:r>
    </w:p>
    <w:p>
      <w:pPr>
        <w:pStyle w:val="78"/>
        <w:ind w:firstLine="482"/>
      </w:pPr>
      <w:r>
        <w:rPr>
          <w:b/>
          <w:bCs/>
        </w:rPr>
        <w:t>4</w:t>
      </w:r>
      <w:r>
        <w:t xml:space="preserve">  </w:t>
      </w:r>
      <w:r>
        <w:rPr>
          <w:rFonts w:hint="eastAsia"/>
        </w:rPr>
        <w:t>测量基线和水准点资料；</w:t>
      </w:r>
    </w:p>
    <w:p>
      <w:pPr>
        <w:pStyle w:val="78"/>
        <w:ind w:firstLine="482"/>
      </w:pPr>
      <w:r>
        <w:rPr>
          <w:b/>
          <w:bCs/>
        </w:rPr>
        <w:t>5</w:t>
      </w:r>
      <w:r>
        <w:t xml:space="preserve">  </w:t>
      </w:r>
      <w:r>
        <w:rPr>
          <w:rFonts w:hint="eastAsia"/>
        </w:rPr>
        <w:t>防洪、防汛、防台和环境保护的有关规定；</w:t>
      </w:r>
    </w:p>
    <w:p>
      <w:pPr>
        <w:pStyle w:val="78"/>
        <w:ind w:firstLine="482"/>
      </w:pPr>
      <w:r>
        <w:rPr>
          <w:b/>
          <w:bCs/>
        </w:rPr>
        <w:t>6</w:t>
      </w:r>
      <w:r>
        <w:t xml:space="preserve">  </w:t>
      </w:r>
      <w:r>
        <w:rPr>
          <w:rFonts w:hint="eastAsia"/>
        </w:rPr>
        <w:t>河流规划宽度、通航情况以及断面尺寸等相关资料﹔</w:t>
      </w:r>
    </w:p>
    <w:p>
      <w:pPr>
        <w:pStyle w:val="78"/>
        <w:ind w:firstLine="482"/>
      </w:pPr>
      <w:r>
        <w:rPr>
          <w:b/>
          <w:bCs/>
        </w:rPr>
        <w:t>7</w:t>
      </w:r>
      <w:r>
        <w:t xml:space="preserve">  </w:t>
      </w:r>
      <w:r>
        <w:rPr>
          <w:rFonts w:hint="eastAsia"/>
        </w:rPr>
        <w:t>工程河段水文资料、洪水特性、各频率流量及洪量、水位流量关系、冬季冰凌情况以及上下游水利工程对本工程的影响情况。</w:t>
      </w:r>
    </w:p>
    <w:p>
      <w:pPr>
        <w:pStyle w:val="77"/>
      </w:pPr>
      <w:r>
        <w:rPr>
          <w:rFonts w:hint="eastAsia"/>
          <w:b/>
          <w:bCs/>
        </w:rPr>
        <w:t>3.</w:t>
      </w:r>
      <w:r>
        <w:rPr>
          <w:b/>
          <w:bCs/>
        </w:rPr>
        <w:t>0</w:t>
      </w:r>
      <w:r>
        <w:rPr>
          <w:rFonts w:hint="eastAsia"/>
          <w:b/>
          <w:bCs/>
        </w:rPr>
        <w:t>.</w:t>
      </w:r>
      <w:r>
        <w:rPr>
          <w:b/>
          <w:bCs/>
        </w:rPr>
        <w:t>3</w:t>
      </w:r>
      <w:r>
        <w:t xml:space="preserve">  </w:t>
      </w:r>
      <w:r>
        <w:rPr>
          <w:rFonts w:hint="eastAsia"/>
        </w:rPr>
        <w:t>应结合工程的规模、工期、地形特点、航道分布等情况合理布置施工场地，所设置的各种临时设施应满足工程施工的需要及防台防汛等安全施工的要求，开工前应完成现场的总平布置工作。</w:t>
      </w:r>
    </w:p>
    <w:p>
      <w:pPr>
        <w:pStyle w:val="77"/>
      </w:pPr>
      <w:r>
        <w:rPr>
          <w:rFonts w:hint="eastAsia"/>
          <w:b/>
          <w:bCs/>
        </w:rPr>
        <w:t>3.</w:t>
      </w:r>
      <w:r>
        <w:rPr>
          <w:b/>
          <w:bCs/>
        </w:rPr>
        <w:t>0</w:t>
      </w:r>
      <w:r>
        <w:rPr>
          <w:rFonts w:hint="eastAsia"/>
          <w:b/>
          <w:bCs/>
        </w:rPr>
        <w:t>.</w:t>
      </w:r>
      <w:r>
        <w:rPr>
          <w:b/>
          <w:bCs/>
        </w:rPr>
        <w:t>4</w:t>
      </w:r>
      <w:r>
        <w:t xml:space="preserve">  </w:t>
      </w:r>
      <w:r>
        <w:rPr>
          <w:rFonts w:hint="eastAsia"/>
        </w:rPr>
        <w:t>原材料进场时，应具有产品合格证、出厂试验报告；进场后，应按国家有关规定进行材料验收和抽检，其质量应合格方可使用。</w:t>
      </w:r>
    </w:p>
    <w:p>
      <w:pPr>
        <w:pStyle w:val="77"/>
      </w:pPr>
      <w:r>
        <w:rPr>
          <w:rFonts w:hint="eastAsia"/>
          <w:b/>
          <w:bCs/>
        </w:rPr>
        <w:t>3.</w:t>
      </w:r>
      <w:r>
        <w:rPr>
          <w:b/>
          <w:bCs/>
        </w:rPr>
        <w:t>0</w:t>
      </w:r>
      <w:r>
        <w:rPr>
          <w:rFonts w:hint="eastAsia"/>
          <w:b/>
          <w:bCs/>
        </w:rPr>
        <w:t>.</w:t>
      </w:r>
      <w:r>
        <w:rPr>
          <w:b/>
          <w:bCs/>
        </w:rPr>
        <w:t>5</w:t>
      </w:r>
      <w:r>
        <w:t xml:space="preserve">  </w:t>
      </w:r>
      <w:r>
        <w:rPr>
          <w:rFonts w:hint="eastAsia"/>
        </w:rPr>
        <w:t>水中沉井施工，应综合考虑河床冲刷稳定深度、干舷高度、水头差、沉井重心高度、设备安拆、取土设备效率等因素，结合沉井施工全过程下沉计算分析，合理制定总体工艺方案，一般水中沉井施工包括施工准备、首节钢沉井制造、沉井浮运定位与着床、隔舱混凝土浇筑、接高与下沉、清基封底等工序。</w:t>
      </w:r>
    </w:p>
    <w:p>
      <w:pPr>
        <w:pStyle w:val="77"/>
      </w:pPr>
      <w:r>
        <w:rPr>
          <w:rFonts w:hint="eastAsia"/>
          <w:b/>
          <w:bCs/>
        </w:rPr>
        <w:t>3.</w:t>
      </w:r>
      <w:r>
        <w:rPr>
          <w:b/>
          <w:bCs/>
        </w:rPr>
        <w:t>0</w:t>
      </w:r>
      <w:r>
        <w:rPr>
          <w:rFonts w:hint="eastAsia"/>
          <w:b/>
          <w:bCs/>
        </w:rPr>
        <w:t>.</w:t>
      </w:r>
      <w:r>
        <w:rPr>
          <w:b/>
          <w:bCs/>
        </w:rPr>
        <w:t>6</w:t>
      </w:r>
      <w:r>
        <w:t xml:space="preserve">  </w:t>
      </w:r>
      <w:r>
        <w:rPr>
          <w:rFonts w:hint="eastAsia"/>
        </w:rPr>
        <w:t>沉井施工应根据现场实际情况配备机具设备。沉井施工主要机具设备应包括混凝土生产、运输和浇筑设备、钢筋加工设备、供气供水设备、吸泥设备、起重设备等。</w:t>
      </w:r>
    </w:p>
    <w:p>
      <w:pPr>
        <w:pStyle w:val="77"/>
      </w:pPr>
      <w:r>
        <w:rPr>
          <w:rFonts w:hint="eastAsia"/>
          <w:b/>
          <w:bCs/>
        </w:rPr>
        <w:t>3.</w:t>
      </w:r>
      <w:r>
        <w:rPr>
          <w:b/>
          <w:bCs/>
        </w:rPr>
        <w:t>0</w:t>
      </w:r>
      <w:r>
        <w:rPr>
          <w:rFonts w:hint="eastAsia"/>
          <w:b/>
          <w:bCs/>
        </w:rPr>
        <w:t>.</w:t>
      </w:r>
      <w:r>
        <w:rPr>
          <w:b/>
          <w:bCs/>
        </w:rPr>
        <w:t>7</w:t>
      </w:r>
      <w:r>
        <w:t xml:space="preserve">  </w:t>
      </w:r>
      <w:r>
        <w:rPr>
          <w:rFonts w:hint="eastAsia"/>
        </w:rPr>
        <w:t>沉井施工期间，应根据施工方案，对沉井施工期间沉井结构、周边影响等因素进行计算分析，并制定合理的监控方案。</w:t>
      </w:r>
    </w:p>
    <w:p>
      <w:pPr>
        <w:pStyle w:val="77"/>
      </w:pPr>
      <w:r>
        <w:rPr>
          <w:rFonts w:hint="eastAsia"/>
          <w:b/>
          <w:bCs/>
        </w:rPr>
        <w:t xml:space="preserve">3.0.8 </w:t>
      </w:r>
      <w:r>
        <w:rPr>
          <w:rFonts w:hint="eastAsia"/>
        </w:rPr>
        <w:t xml:space="preserve"> 沉井施工宜采用机械化、信息化、智能化的施工工艺。</w:t>
      </w:r>
    </w:p>
    <w:p>
      <w:pPr>
        <w:ind w:firstLine="480"/>
        <w:rPr>
          <w:rFonts w:cs="Times New Roman"/>
        </w:rPr>
      </w:pPr>
    </w:p>
    <w:p>
      <w:pPr>
        <w:spacing w:line="480" w:lineRule="auto"/>
        <w:ind w:firstLine="482"/>
        <w:jc w:val="left"/>
        <w:rPr>
          <w:rFonts w:eastAsia="宋体" w:cs="Times New Roman"/>
          <w:b/>
          <w:szCs w:val="24"/>
        </w:rPr>
        <w:sectPr>
          <w:footerReference r:id="rId15" w:type="even"/>
          <w:pgSz w:w="11906" w:h="16838"/>
          <w:pgMar w:top="1440" w:right="1800" w:bottom="1440" w:left="1800" w:header="851" w:footer="992" w:gutter="0"/>
          <w:cols w:space="425" w:num="1"/>
          <w:docGrid w:type="lines" w:linePitch="312" w:charSpace="0"/>
        </w:sectPr>
      </w:pPr>
    </w:p>
    <w:p>
      <w:pPr>
        <w:pStyle w:val="2"/>
      </w:pPr>
      <w:bookmarkStart w:id="53" w:name="_Toc112317318"/>
      <w:r>
        <w:rPr>
          <w:rFonts w:hint="eastAsia"/>
        </w:rPr>
        <w:t>计算与验算</w:t>
      </w:r>
      <w:bookmarkEnd w:id="53"/>
    </w:p>
    <w:p>
      <w:pPr>
        <w:pStyle w:val="3"/>
        <w:spacing w:before="312"/>
      </w:pPr>
      <w:bookmarkStart w:id="54" w:name="_Toc112317319"/>
      <w:r>
        <w:rPr>
          <w:rFonts w:hint="eastAsia"/>
        </w:rPr>
        <w:t>一般规定</w:t>
      </w:r>
      <w:bookmarkEnd w:id="54"/>
    </w:p>
    <w:p>
      <w:pPr>
        <w:pStyle w:val="4"/>
      </w:pPr>
      <w:bookmarkStart w:id="55" w:name="_Toc71190756"/>
      <w:bookmarkEnd w:id="55"/>
      <w:bookmarkStart w:id="56" w:name="_Toc71191366"/>
      <w:bookmarkEnd w:id="56"/>
      <w:bookmarkStart w:id="57" w:name="_Toc71191368"/>
      <w:bookmarkEnd w:id="57"/>
      <w:bookmarkStart w:id="58" w:name="_Toc71190754"/>
      <w:bookmarkEnd w:id="58"/>
      <w:bookmarkStart w:id="59" w:name="_Toc71191369"/>
      <w:r>
        <w:rPr>
          <w:rFonts w:hint="eastAsia"/>
        </w:rPr>
        <w:t>水中沉井应对沉井浮运稳性、锚缆系统受力、下沉系数、接高稳定系数、结构受力、设备选型以及封底混凝土等内容进行计算与验算。</w:t>
      </w:r>
    </w:p>
    <w:p>
      <w:pPr>
        <w:pStyle w:val="4"/>
      </w:pPr>
      <w:r>
        <w:rPr>
          <w:rFonts w:hint="eastAsia"/>
        </w:rPr>
        <w:t>流速水域</w:t>
      </w:r>
      <w:r>
        <w:t>的沉井基础冲刷计算可按</w:t>
      </w:r>
      <w:r>
        <w:rPr>
          <w:rFonts w:hint="eastAsia"/>
        </w:rPr>
        <w:t>现行的《公路工程水文勘测设计规范》(JTG C30)进行；对于复杂水文条件的大型水中沉井基础，应进行河工模型试验对施工期河床冲刷情况进行研究论证。</w:t>
      </w:r>
    </w:p>
    <w:p>
      <w:pPr>
        <w:pStyle w:val="4"/>
      </w:pPr>
      <w:r>
        <w:rPr>
          <w:rFonts w:hint="eastAsia"/>
        </w:rPr>
        <w:t>计算和验算应综合考虑风、浪、流等作用，其计算参照现行《港口工程荷载规范》（JTS 144）、《建筑结构荷载规范》（GB5009</w:t>
      </w:r>
      <w:r>
        <w:t>）</w:t>
      </w:r>
      <w:r>
        <w:rPr>
          <w:rFonts w:hint="eastAsia"/>
        </w:rPr>
        <w:t>、《港口与航道水文规范》（JTS 145），作用均采用标准值。</w:t>
      </w:r>
    </w:p>
    <w:bookmarkEnd w:id="59"/>
    <w:p>
      <w:pPr>
        <w:pStyle w:val="3"/>
        <w:spacing w:before="312"/>
      </w:pPr>
      <w:bookmarkStart w:id="60" w:name="_Toc112317320"/>
      <w:r>
        <w:rPr>
          <w:rFonts w:hint="eastAsia"/>
        </w:rPr>
        <w:t>浮运</w:t>
      </w:r>
      <w:r>
        <w:t>及定位计算</w:t>
      </w:r>
      <w:bookmarkEnd w:id="60"/>
    </w:p>
    <w:p>
      <w:pPr>
        <w:pStyle w:val="4"/>
      </w:pPr>
      <w:r>
        <w:rPr>
          <w:rFonts w:hint="eastAsia"/>
        </w:rPr>
        <w:t>沉井在浮运前，应验算其浮运稳性，包含定倾高度和稳定倾斜角的验算；宜分别验算其纵向稳定倾斜角和横向稳定倾斜角。</w:t>
      </w:r>
    </w:p>
    <w:p>
      <w:pPr>
        <w:pStyle w:val="5"/>
        <w:ind w:firstLine="480"/>
      </w:pPr>
      <w:r>
        <w:rPr>
          <w:rFonts w:hint="eastAsia"/>
        </w:rPr>
        <w:t>定倾高度应按下列公式进行计算：</w:t>
      </w:r>
    </w:p>
    <w:tbl>
      <w:tblPr>
        <w:tblStyle w:val="2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54"/>
        <w:gridCol w:w="14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54" w:type="dxa"/>
          </w:tcPr>
          <w:p>
            <w:pPr>
              <w:pStyle w:val="59"/>
              <w:rPr>
                <w:szCs w:val="24"/>
              </w:rPr>
            </w:pPr>
            <m:oMathPara>
              <m:oMath>
                <m:r>
                  <m:rPr/>
                  <w:rPr>
                    <w:rFonts w:hint="eastAsia" w:ascii="Cambria Math" w:hAnsi="Cambria Math"/>
                  </w:rPr>
                  <m:t>m=</m:t>
                </m:r>
                <m:r>
                  <m:rPr/>
                  <w:rPr>
                    <w:rFonts w:ascii="Cambria Math" w:hAnsi="Cambria Math"/>
                  </w:rPr>
                  <m:t>ρ</m:t>
                </m:r>
                <m:r>
                  <m:rPr/>
                  <w:rPr>
                    <w:rFonts w:hint="eastAsia" w:ascii="Cambria Math" w:hAnsi="Cambria Math" w:eastAsia="微软雅黑" w:cs="微软雅黑"/>
                  </w:rPr>
                  <m:t>−</m:t>
                </m:r>
                <m:r>
                  <m:rPr/>
                  <w:rPr>
                    <w:rFonts w:hint="eastAsia" w:ascii="Cambria Math" w:hAnsi="Cambria Math"/>
                  </w:rPr>
                  <m:t>a</m:t>
                </m:r>
              </m:oMath>
            </m:oMathPara>
          </w:p>
        </w:tc>
        <w:tc>
          <w:tcPr>
            <w:tcW w:w="1468" w:type="dxa"/>
            <w:vAlign w:val="center"/>
          </w:tcPr>
          <w:p>
            <w:pPr>
              <w:pStyle w:val="59"/>
              <w:rPr>
                <w:szCs w:val="21"/>
              </w:rPr>
            </w:pPr>
            <w:r>
              <w:rPr>
                <w:rFonts w:hint="eastAsia"/>
                <w:szCs w:val="21"/>
              </w:rPr>
              <w:t>（4</w:t>
            </w:r>
            <w:r>
              <w:rPr>
                <w:szCs w:val="21"/>
              </w:rPr>
              <w:t>.2.1</w:t>
            </w:r>
            <w:r>
              <w:rPr>
                <w:rFonts w:hint="eastAsia"/>
                <w:szCs w:val="21"/>
              </w:rPr>
              <w:t>-</w:t>
            </w:r>
            <w:r>
              <w:rPr>
                <w:szCs w:val="21"/>
              </w:rPr>
              <w:t>1</w:t>
            </w:r>
            <w:r>
              <w:rPr>
                <w:rFonts w:hint="eastAsia"/>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054" w:type="dxa"/>
          </w:tcPr>
          <w:p>
            <w:pPr>
              <w:pStyle w:val="59"/>
              <w:rPr>
                <w:szCs w:val="24"/>
              </w:rPr>
            </w:pPr>
            <m:oMathPara>
              <m:oMath>
                <m:r>
                  <m:rPr/>
                  <w:rPr>
                    <w:rFonts w:ascii="Cambria Math" w:hAnsi="Cambria Math"/>
                  </w:rPr>
                  <m:t>ρ</m:t>
                </m:r>
                <m:r>
                  <m:rPr/>
                  <w:rPr>
                    <w:rFonts w:hint="eastAsia" w:ascii="Cambria Math" w:hAnsi="Cambria Math"/>
                  </w:rPr>
                  <m:t>=</m:t>
                </m:r>
                <m:f>
                  <m:fPr>
                    <m:ctrlPr>
                      <w:rPr>
                        <w:rFonts w:ascii="Cambria Math" w:hAnsi="Cambria Math"/>
                        <w:i/>
                      </w:rPr>
                    </m:ctrlPr>
                  </m:fPr>
                  <m:num>
                    <m:r>
                      <m:rPr/>
                      <w:rPr>
                        <w:rFonts w:hint="eastAsia" w:ascii="Cambria Math" w:hAnsi="Cambria Math"/>
                      </w:rPr>
                      <m:t>I</m:t>
                    </m:r>
                    <m:ctrlPr>
                      <w:rPr>
                        <w:rFonts w:ascii="Cambria Math" w:hAnsi="Cambria Math"/>
                        <w:i/>
                      </w:rPr>
                    </m:ctrlPr>
                  </m:num>
                  <m:den>
                    <m:r>
                      <m:rPr/>
                      <w:rPr>
                        <w:rFonts w:hint="eastAsia" w:ascii="Cambria Math" w:hAnsi="Cambria Math"/>
                      </w:rPr>
                      <m:t>V</m:t>
                    </m:r>
                    <m:ctrlPr>
                      <w:rPr>
                        <w:rFonts w:ascii="Cambria Math" w:hAnsi="Cambria Math"/>
                        <w:i/>
                      </w:rPr>
                    </m:ctrlPr>
                  </m:den>
                </m:f>
              </m:oMath>
            </m:oMathPara>
          </w:p>
        </w:tc>
        <w:tc>
          <w:tcPr>
            <w:tcW w:w="1468" w:type="dxa"/>
            <w:vAlign w:val="center"/>
          </w:tcPr>
          <w:p>
            <w:pPr>
              <w:pStyle w:val="59"/>
              <w:rPr>
                <w:szCs w:val="21"/>
              </w:rPr>
            </w:pPr>
            <w:r>
              <w:rPr>
                <w:rFonts w:hint="eastAsia"/>
                <w:szCs w:val="21"/>
              </w:rPr>
              <w:t>（4</w:t>
            </w:r>
            <w:r>
              <w:rPr>
                <w:szCs w:val="21"/>
              </w:rPr>
              <w:t>.2.1</w:t>
            </w:r>
            <w:r>
              <w:rPr>
                <w:rFonts w:hint="eastAsia"/>
                <w:szCs w:val="21"/>
              </w:rPr>
              <w:t>-</w:t>
            </w:r>
            <w:r>
              <w:rPr>
                <w:szCs w:val="21"/>
              </w:rPr>
              <w:t>2</w:t>
            </w:r>
            <w:r>
              <w:rPr>
                <w:rFonts w:hint="eastAsia"/>
                <w:szCs w:val="21"/>
              </w:rPr>
              <w:t>）</w:t>
            </w:r>
          </w:p>
        </w:tc>
      </w:tr>
    </w:tbl>
    <w:p>
      <w:pPr>
        <w:ind w:firstLine="0" w:firstLineChars="0"/>
      </w:pPr>
      <w:r>
        <w:rPr>
          <w:rFonts w:hint="eastAsia"/>
        </w:rPr>
        <w:t>式中：</w:t>
      </w:r>
    </w:p>
    <w:p>
      <w:pPr>
        <w:ind w:firstLine="480"/>
      </w:pPr>
      <m:oMath>
        <m:r>
          <m:rPr/>
          <w:rPr>
            <w:rFonts w:hint="eastAsia" w:ascii="Cambria Math" w:hAnsi="Cambria Math"/>
          </w:rPr>
          <m:t>m</m:t>
        </m:r>
      </m:oMath>
      <w:r>
        <w:rPr>
          <w:rFonts w:cs="Times New Roman"/>
          <w:sz w:val="21"/>
        </w:rPr>
        <w:t>——</w:t>
      </w:r>
      <w:r>
        <w:rPr>
          <w:rFonts w:hint="eastAsia"/>
        </w:rPr>
        <w:t>定倾高度（m），表示沉井浮运稳定性的物理量，不应小于0</w:t>
      </w:r>
      <w:r>
        <w:t>.4</w:t>
      </w:r>
      <w:r>
        <w:rPr>
          <w:rFonts w:hint="eastAsia"/>
        </w:rPr>
        <w:t>m；</w:t>
      </w:r>
    </w:p>
    <w:p>
      <w:pPr>
        <w:ind w:firstLine="480"/>
      </w:pPr>
      <m:oMath>
        <m:r>
          <m:rPr/>
          <w:rPr>
            <w:rFonts w:ascii="Cambria Math" w:hAnsi="Cambria Math"/>
          </w:rPr>
          <m:t>ρ</m:t>
        </m:r>
      </m:oMath>
      <w:r>
        <w:rPr>
          <w:rFonts w:cs="Times New Roman"/>
          <w:sz w:val="21"/>
        </w:rPr>
        <w:t>——</w:t>
      </w:r>
      <w:r>
        <w:rPr>
          <w:rFonts w:hint="eastAsia"/>
        </w:rPr>
        <w:t>定倾半径（m），为浮心与定倾中心的距离；</w:t>
      </w:r>
    </w:p>
    <w:p>
      <w:pPr>
        <w:ind w:firstLine="480"/>
      </w:pPr>
      <m:oMath>
        <m:r>
          <m:rPr/>
          <w:rPr>
            <w:rFonts w:hint="eastAsia" w:ascii="Cambria Math" w:hAnsi="Cambria Math"/>
          </w:rPr>
          <m:t>a</m:t>
        </m:r>
      </m:oMath>
      <w:r>
        <w:rPr>
          <w:rFonts w:cs="Times New Roman"/>
          <w:sz w:val="21"/>
        </w:rPr>
        <w:t>——</w:t>
      </w:r>
      <w:r>
        <w:rPr>
          <w:rFonts w:hint="eastAsia"/>
        </w:rPr>
        <w:t>沉井重心到浮心的距离（m）；</w:t>
      </w:r>
    </w:p>
    <w:p>
      <w:pPr>
        <w:ind w:firstLine="480"/>
      </w:pPr>
      <m:oMath>
        <m:r>
          <m:rPr/>
          <w:rPr>
            <w:rFonts w:hint="eastAsia" w:ascii="Cambria Math" w:hAnsi="Cambria Math"/>
          </w:rPr>
          <m:t>I</m:t>
        </m:r>
      </m:oMath>
      <w:r>
        <w:rPr>
          <w:rFonts w:cs="Times New Roman"/>
          <w:sz w:val="21"/>
        </w:rPr>
        <w:t>——</w:t>
      </w:r>
      <w:r>
        <w:rPr>
          <w:rFonts w:hint="eastAsia"/>
        </w:rPr>
        <w:t>沉井在水面处的断面对纵向（或横向）中心轴的惯性矩；</w:t>
      </w:r>
    </w:p>
    <w:p>
      <w:pPr>
        <w:ind w:firstLine="480"/>
      </w:pPr>
      <m:oMath>
        <m:r>
          <m:rPr/>
          <w:rPr>
            <w:rFonts w:hint="eastAsia" w:ascii="Cambria Math" w:hAnsi="Cambria Math"/>
          </w:rPr>
          <m:t>V</m:t>
        </m:r>
      </m:oMath>
      <w:r>
        <w:rPr>
          <w:rFonts w:cs="Times New Roman"/>
          <w:sz w:val="21"/>
        </w:rPr>
        <w:t>——</w:t>
      </w:r>
      <w:r>
        <w:rPr>
          <w:rFonts w:hint="eastAsia"/>
        </w:rPr>
        <w:t>排水体积（m</w:t>
      </w:r>
      <w:r>
        <w:rPr>
          <w:vertAlign w:val="superscript"/>
        </w:rPr>
        <w:t>3</w:t>
      </w:r>
      <w:r>
        <w:rPr>
          <w:rFonts w:hint="eastAsia"/>
        </w:rPr>
        <w:t>）。</w:t>
      </w:r>
    </w:p>
    <w:p>
      <w:pPr>
        <w:pStyle w:val="5"/>
        <w:ind w:firstLine="480"/>
      </w:pPr>
      <w:r>
        <w:rPr>
          <w:rFonts w:hint="eastAsia"/>
        </w:rPr>
        <w:t>稳定倾斜角应按下列公式进行计算：</w:t>
      </w:r>
    </w:p>
    <w:p>
      <w:pPr>
        <w:ind w:firstLine="480"/>
        <w:jc w:val="center"/>
      </w:pPr>
      <w:r>
        <w:rPr>
          <w:rFonts w:eastAsia="宋体" w:cs="Times New Roman"/>
        </w:rPr>
        <w:t xml:space="preserve">               </w:t>
      </w:r>
      <w:r>
        <w:rPr>
          <w:rFonts w:eastAsia="宋体" w:cs="Times New Roman"/>
          <w:position w:val="-30"/>
        </w:rPr>
        <w:object>
          <v:shape id="_x0000_i1026" o:spt="75" type="#_x0000_t75" style="height:34.65pt;width:73.35pt;" o:ole="t" filled="f" o:preferrelative="t" stroked="f" coordsize="21600,21600">
            <v:path/>
            <v:fill on="f" focussize="0,0"/>
            <v:stroke on="f" joinstyle="miter"/>
            <v:imagedata r:id="rId21" o:title=""/>
            <o:lock v:ext="edit" aspectratio="t"/>
            <w10:wrap type="none"/>
            <w10:anchorlock/>
          </v:shape>
          <o:OLEObject Type="Embed" ProgID="Equation.DSMT4" ShapeID="_x0000_i1026" DrawAspect="Content" ObjectID="_1468075726" r:id="rId20">
            <o:LockedField>false</o:LockedField>
          </o:OLEObject>
        </w:object>
      </w:r>
      <w:r>
        <w:rPr>
          <w:rFonts w:eastAsia="宋体" w:cs="Times New Roman"/>
        </w:rPr>
        <w:t xml:space="preserve">                        </w:t>
      </w:r>
      <w:r>
        <w:rPr>
          <w:rFonts w:hint="eastAsia" w:eastAsia="宋体" w:cs="Times New Roman"/>
          <w:sz w:val="21"/>
          <w:szCs w:val="21"/>
        </w:rPr>
        <w:t>（4</w:t>
      </w:r>
      <w:r>
        <w:rPr>
          <w:rFonts w:eastAsia="宋体" w:cs="Times New Roman"/>
          <w:sz w:val="21"/>
          <w:szCs w:val="21"/>
        </w:rPr>
        <w:t>.2.1</w:t>
      </w:r>
      <w:r>
        <w:rPr>
          <w:rFonts w:hint="eastAsia" w:eastAsia="宋体" w:cs="Times New Roman"/>
          <w:sz w:val="21"/>
          <w:szCs w:val="21"/>
        </w:rPr>
        <w:t>-</w:t>
      </w:r>
      <w:r>
        <w:rPr>
          <w:rFonts w:eastAsia="宋体" w:cs="Times New Roman"/>
          <w:sz w:val="21"/>
          <w:szCs w:val="21"/>
        </w:rPr>
        <w:t>3</w:t>
      </w:r>
      <w:r>
        <w:rPr>
          <w:rFonts w:hint="eastAsia" w:eastAsia="宋体" w:cs="Times New Roman"/>
          <w:sz w:val="21"/>
          <w:szCs w:val="21"/>
        </w:rPr>
        <w:t>）</w:t>
      </w:r>
    </w:p>
    <w:p>
      <w:pPr>
        <w:ind w:firstLine="0" w:firstLineChars="0"/>
      </w:pPr>
      <w:r>
        <w:rPr>
          <w:rFonts w:hint="eastAsia"/>
        </w:rPr>
        <w:t>式中：</w:t>
      </w:r>
    </w:p>
    <w:p>
      <w:pPr>
        <w:ind w:left="1080" w:leftChars="200" w:hanging="600" w:hangingChars="250"/>
      </w:pPr>
      <m:oMath>
        <m:r>
          <m:rPr/>
          <w:rPr>
            <w:rFonts w:ascii="Cambria Math" w:hAnsi="Cambria Math"/>
          </w:rPr>
          <m:t>φ</m:t>
        </m:r>
      </m:oMath>
      <w:r>
        <w:rPr>
          <w:rFonts w:cs="Times New Roman"/>
          <w:sz w:val="21"/>
        </w:rPr>
        <w:t>——</w:t>
      </w:r>
      <w:r>
        <w:rPr>
          <w:rFonts w:hint="eastAsia"/>
        </w:rPr>
        <w:t>沉井的稳定倾斜角，表示沉井在外力矩的作用下保持稳定的倾斜角度，不应大于6°；</w:t>
      </w:r>
    </w:p>
    <w:p>
      <w:pPr>
        <w:ind w:firstLine="480"/>
      </w:pPr>
      <m:oMath>
        <m:r>
          <m:rPr/>
          <w:rPr>
            <w:rFonts w:hint="eastAsia" w:ascii="Cambria Math" w:hAnsi="Cambria Math"/>
          </w:rPr>
          <m:t>M</m:t>
        </m:r>
      </m:oMath>
      <w:r>
        <w:rPr>
          <w:rFonts w:cs="Times New Roman"/>
          <w:sz w:val="21"/>
        </w:rPr>
        <w:t>——</w:t>
      </w:r>
      <w:r>
        <w:rPr>
          <w:rFonts w:hint="eastAsia"/>
        </w:rPr>
        <w:t>外力矩（kN·m）；</w:t>
      </w:r>
    </w:p>
    <w:p>
      <w:pPr>
        <w:ind w:firstLine="480"/>
      </w:pPr>
      <m:oMath>
        <m:sSub>
          <m:sSubPr>
            <m:ctrlPr>
              <w:rPr>
                <w:rFonts w:ascii="Cambria Math" w:hAnsi="Cambria Math"/>
                <w:i/>
              </w:rPr>
            </m:ctrlPr>
          </m:sSubPr>
          <m:e>
            <m:r>
              <m:rPr/>
              <w:rPr>
                <w:rFonts w:ascii="Cambria Math" w:hAnsi="Cambria Math"/>
              </w:rPr>
              <m:t>γ</m:t>
            </m:r>
            <m:ctrlPr>
              <w:rPr>
                <w:rFonts w:ascii="Cambria Math" w:hAnsi="Cambria Math"/>
                <w:i/>
              </w:rPr>
            </m:ctrlPr>
          </m:e>
          <m:sub>
            <m:r>
              <m:rPr>
                <m:sty m:val="p"/>
              </m:rPr>
              <w:rPr>
                <w:rFonts w:ascii="Cambria Math" w:hAnsi="Cambria Math"/>
              </w:rPr>
              <m:t>w</m:t>
            </m:r>
            <m:ctrlPr>
              <w:rPr>
                <w:rFonts w:ascii="Cambria Math" w:hAnsi="Cambria Math"/>
                <w:i/>
              </w:rPr>
            </m:ctrlPr>
          </m:sub>
        </m:sSub>
      </m:oMath>
      <w:r>
        <w:rPr>
          <w:rFonts w:cs="Times New Roman"/>
          <w:sz w:val="21"/>
        </w:rPr>
        <w:t>——</w:t>
      </w:r>
      <w:r>
        <w:rPr>
          <w:rFonts w:hint="eastAsia"/>
        </w:rPr>
        <w:t>水</w:t>
      </w:r>
      <w:r>
        <w:t>的</w:t>
      </w:r>
      <w:r>
        <w:rPr>
          <w:rFonts w:hint="eastAsia"/>
        </w:rPr>
        <w:t>重度（kN/m</w:t>
      </w:r>
      <w:r>
        <w:rPr>
          <w:vertAlign w:val="superscript"/>
        </w:rPr>
        <w:t>3</w:t>
      </w:r>
      <w:r>
        <w:rPr>
          <w:rFonts w:hint="eastAsia"/>
        </w:rPr>
        <w:t>）,取9.81kN/m</w:t>
      </w:r>
      <w:r>
        <w:rPr>
          <w:vertAlign w:val="superscript"/>
        </w:rPr>
        <w:t>3</w:t>
      </w:r>
      <w:r>
        <w:rPr>
          <w:rFonts w:hint="eastAsia"/>
        </w:rPr>
        <w:t>；</w:t>
      </w:r>
    </w:p>
    <w:p>
      <w:pPr>
        <w:ind w:firstLine="480"/>
      </w:pPr>
      <m:oMath>
        <m:r>
          <m:rPr/>
          <w:rPr>
            <w:rFonts w:hint="eastAsia" w:ascii="Cambria Math" w:hAnsi="Cambria Math"/>
          </w:rPr>
          <m:t>V</m:t>
        </m:r>
      </m:oMath>
      <w:r>
        <w:rPr>
          <w:rFonts w:cs="Times New Roman"/>
          <w:sz w:val="21"/>
        </w:rPr>
        <w:t>——</w:t>
      </w:r>
      <w:r>
        <w:rPr>
          <w:rFonts w:hint="eastAsia"/>
        </w:rPr>
        <w:t>排水体积（m</w:t>
      </w:r>
      <w:r>
        <w:rPr>
          <w:vertAlign w:val="superscript"/>
        </w:rPr>
        <w:t>3</w:t>
      </w:r>
      <w:r>
        <w:rPr>
          <w:rFonts w:hint="eastAsia"/>
        </w:rPr>
        <w:t>）。</w:t>
      </w:r>
    </w:p>
    <w:p>
      <w:pPr>
        <w:ind w:firstLine="0" w:firstLineChars="0"/>
        <w:jc w:val="center"/>
      </w:pPr>
      <w:r>
        <w:drawing>
          <wp:inline distT="0" distB="0" distL="0" distR="0">
            <wp:extent cx="4027170" cy="2844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2">
                      <a:extLst>
                        <a:ext uri="{28A0092B-C50C-407E-A947-70E740481C1C}">
                          <a14:useLocalDpi xmlns:a14="http://schemas.microsoft.com/office/drawing/2010/main" val="0"/>
                        </a:ext>
                      </a:extLst>
                    </a:blip>
                    <a:srcRect r="9488"/>
                    <a:stretch>
                      <a:fillRect/>
                    </a:stretch>
                  </pic:blipFill>
                  <pic:spPr>
                    <a:xfrm>
                      <a:off x="0" y="0"/>
                      <a:ext cx="4036200" cy="2851354"/>
                    </a:xfrm>
                    <a:prstGeom prst="rect">
                      <a:avLst/>
                    </a:prstGeom>
                    <a:ln>
                      <a:noFill/>
                    </a:ln>
                  </pic:spPr>
                </pic:pic>
              </a:graphicData>
            </a:graphic>
          </wp:inline>
        </w:drawing>
      </w:r>
    </w:p>
    <w:p>
      <w:pPr>
        <w:ind w:firstLine="420"/>
        <w:jc w:val="center"/>
        <w:rPr>
          <w:rFonts w:cs="Times New Roman"/>
          <w:sz w:val="21"/>
        </w:rPr>
      </w:pPr>
      <w:r>
        <w:rPr>
          <w:rFonts w:cs="Times New Roman"/>
          <w:sz w:val="21"/>
        </w:rPr>
        <w:t>D——</w:t>
      </w:r>
      <w:r>
        <w:rPr>
          <w:rFonts w:hint="eastAsia" w:cs="Times New Roman"/>
          <w:sz w:val="21"/>
        </w:rPr>
        <w:t>重心；</w:t>
      </w:r>
      <w:r>
        <w:rPr>
          <w:rFonts w:cs="Times New Roman"/>
          <w:sz w:val="21"/>
        </w:rPr>
        <w:t>C——</w:t>
      </w:r>
      <w:r>
        <w:rPr>
          <w:rFonts w:hint="eastAsia" w:cs="Times New Roman"/>
          <w:sz w:val="21"/>
        </w:rPr>
        <w:t>浮心；</w:t>
      </w:r>
      <w:r>
        <w:rPr>
          <w:rFonts w:cs="Times New Roman"/>
          <w:sz w:val="21"/>
        </w:rPr>
        <w:t>O——</w:t>
      </w:r>
      <w:r>
        <w:rPr>
          <w:rFonts w:hint="eastAsia" w:cs="Times New Roman"/>
          <w:sz w:val="21"/>
        </w:rPr>
        <w:t>定倾中心，浮心运行轨迹的圆心；</w:t>
      </w:r>
    </w:p>
    <w:p>
      <w:pPr>
        <w:pStyle w:val="8"/>
        <w:ind w:firstLine="422"/>
      </w:pPr>
      <w:r>
        <w:rPr>
          <w:rFonts w:hint="eastAsia"/>
        </w:rPr>
        <w:t>图</w:t>
      </w:r>
      <w:r>
        <w:t xml:space="preserve">4.2.1 </w:t>
      </w:r>
      <w:r>
        <w:rPr>
          <w:rFonts w:hint="eastAsia"/>
        </w:rPr>
        <w:t>水中浮运沉井</w:t>
      </w:r>
    </w:p>
    <w:p>
      <w:pPr>
        <w:pStyle w:val="4"/>
      </w:pPr>
      <w:bookmarkStart w:id="61" w:name="_Toc77763464"/>
      <w:bookmarkStart w:id="62" w:name="_Toc104109414"/>
      <w:r>
        <w:rPr>
          <w:rFonts w:hint="eastAsia"/>
        </w:rPr>
        <w:t>沉井锚缆系统受力，应按下列公式计算：</w:t>
      </w:r>
      <w:bookmarkEnd w:id="61"/>
      <w:bookmarkEnd w:id="62"/>
      <w:r>
        <w:t xml:space="preserve"> </w:t>
      </w:r>
    </w:p>
    <w:p>
      <w:pPr>
        <w:pStyle w:val="5"/>
        <w:ind w:firstLine="480"/>
      </w:pPr>
      <w:r>
        <w:rPr>
          <w:rFonts w:hint="eastAsia"/>
        </w:rPr>
        <w:t>沉井锚缆受力应按下列公式计算：</w:t>
      </w:r>
    </w:p>
    <w:p>
      <w:pPr>
        <w:ind w:firstLine="209" w:firstLineChars="95"/>
        <w:rPr>
          <w:rStyle w:val="56"/>
          <w:rFonts w:cstheme="majorBidi"/>
          <w:bCs w:val="0"/>
          <w:szCs w:val="28"/>
        </w:rPr>
      </w:pPr>
      <w:r>
        <w:rPr>
          <w:rFonts w:eastAsia="黑体"/>
          <w:bCs/>
          <w:smallCaps/>
          <w:spacing w:val="5"/>
          <w:sz w:val="21"/>
        </w:rPr>
        <w:drawing>
          <wp:inline distT="0" distB="0" distL="0" distR="0">
            <wp:extent cx="5140960" cy="2725420"/>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3" cstate="print">
                      <a:extLst>
                        <a:ext uri="{28A0092B-C50C-407E-A947-70E740481C1C}">
                          <a14:useLocalDpi xmlns:a14="http://schemas.microsoft.com/office/drawing/2010/main" val="0"/>
                        </a:ext>
                      </a:extLst>
                    </a:blip>
                    <a:srcRect r="2521" b="1563"/>
                    <a:stretch>
                      <a:fillRect/>
                    </a:stretch>
                  </pic:blipFill>
                  <pic:spPr>
                    <a:xfrm>
                      <a:off x="0" y="0"/>
                      <a:ext cx="5141343" cy="2725947"/>
                    </a:xfrm>
                    <a:prstGeom prst="rect">
                      <a:avLst/>
                    </a:prstGeom>
                    <a:ln>
                      <a:noFill/>
                    </a:ln>
                  </pic:spPr>
                </pic:pic>
              </a:graphicData>
            </a:graphic>
          </wp:inline>
        </w:drawing>
      </w:r>
    </w:p>
    <w:p>
      <w:pPr>
        <w:pStyle w:val="8"/>
        <w:ind w:firstLine="422"/>
      </w:pPr>
      <w:r>
        <w:rPr>
          <w:rFonts w:hint="eastAsia"/>
        </w:rPr>
        <w:t>图</w:t>
      </w:r>
      <w:r>
        <w:t>4.</w:t>
      </w:r>
      <w:r>
        <w:rPr>
          <w:rFonts w:cstheme="minorBidi"/>
          <w:szCs w:val="22"/>
        </w:rPr>
        <w:t xml:space="preserve">2.2 </w:t>
      </w:r>
      <w:r>
        <w:rPr>
          <w:rFonts w:hint="eastAsia"/>
        </w:rPr>
        <w:t>沉井锚缆计算示意图</w:t>
      </w:r>
    </w:p>
    <w:p>
      <w:pPr>
        <w:ind w:firstLine="480"/>
        <w:rPr>
          <w:rFonts w:cs="Times New Roman"/>
        </w:rPr>
      </w:pPr>
      <w:r>
        <w:rPr>
          <w:rFonts w:hint="eastAsia" w:cs="Times New Roman"/>
        </w:rPr>
        <w:t xml:space="preserve">沉井锚缆受力计算公式如下： </w:t>
      </w:r>
    </w:p>
    <w:tbl>
      <w:tblPr>
        <w:tblStyle w:val="2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54"/>
        <w:gridCol w:w="14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54" w:type="dxa"/>
          </w:tcPr>
          <w:p>
            <w:pPr>
              <w:pStyle w:val="59"/>
            </w:pPr>
            <w:r>
              <w:object>
                <v:shape id="_x0000_i1027" o:spt="75" type="#_x0000_t75" style="height:34.65pt;width:112.1pt;" o:ole="t" filled="f" o:preferrelative="t" stroked="f" coordsize="21600,21600">
                  <v:path/>
                  <v:fill on="f" focussize="0,0"/>
                  <v:stroke on="f" joinstyle="miter"/>
                  <v:imagedata r:id="rId25" o:title=""/>
                  <o:lock v:ext="edit" aspectratio="t"/>
                  <w10:wrap type="none"/>
                  <w10:anchorlock/>
                </v:shape>
                <o:OLEObject Type="Embed" ProgID="Equation.DSMT4" ShapeID="_x0000_i1027" DrawAspect="Content" ObjectID="_1468075727" r:id="rId24">
                  <o:LockedField>false</o:LockedField>
                </o:OLEObject>
              </w:object>
            </w:r>
          </w:p>
        </w:tc>
        <w:tc>
          <w:tcPr>
            <w:tcW w:w="1468" w:type="dxa"/>
            <w:vAlign w:val="center"/>
          </w:tcPr>
          <w:p>
            <w:pPr>
              <w:pStyle w:val="59"/>
              <w:rPr>
                <w:szCs w:val="24"/>
              </w:rPr>
            </w:pPr>
            <w:r>
              <w:rPr>
                <w:rFonts w:hint="eastAsia"/>
                <w:szCs w:val="24"/>
              </w:rPr>
              <w:t>（4</w:t>
            </w:r>
            <w:r>
              <w:rPr>
                <w:szCs w:val="24"/>
              </w:rPr>
              <w:t>.2.2</w:t>
            </w:r>
            <w:r>
              <w:rPr>
                <w:rFonts w:hint="eastAsia"/>
                <w:szCs w:val="24"/>
              </w:rPr>
              <w:t>-</w:t>
            </w:r>
            <w:r>
              <w:rPr>
                <w:szCs w:val="24"/>
              </w:rPr>
              <w:t>1</w:t>
            </w:r>
            <w:r>
              <w:rPr>
                <w:rFonts w:hint="eastAsia"/>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54" w:type="dxa"/>
          </w:tcPr>
          <w:p>
            <w:pPr>
              <w:pStyle w:val="59"/>
            </w:pPr>
            <m:oMathPara>
              <m:oMath>
                <m:sSub>
                  <m:sSubPr>
                    <m:ctrlPr>
                      <w:rPr>
                        <w:rFonts w:ascii="Cambria Math" w:hAnsi="Cambria Math"/>
                        <w:i/>
                      </w:rPr>
                    </m:ctrlPr>
                  </m:sSubPr>
                  <m:e>
                    <m:r>
                      <m:rPr/>
                      <w:rPr>
                        <w:rFonts w:hint="eastAsia" w:ascii="Cambria Math" w:hAnsi="Cambria Math"/>
                      </w:rPr>
                      <m:t>F</m:t>
                    </m:r>
                    <m:ctrlPr>
                      <w:rPr>
                        <w:rFonts w:ascii="Cambria Math" w:hAnsi="Cambria Math"/>
                        <w:i/>
                      </w:rPr>
                    </m:ctrlPr>
                  </m:e>
                  <m:sub>
                    <m:r>
                      <m:rPr/>
                      <w:rPr>
                        <w:rFonts w:ascii="Cambria Math" w:hAnsi="Cambria Math"/>
                      </w:rPr>
                      <m:t>t</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w</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f</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l</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hint="eastAsia" w:ascii="Cambria Math" w:hAnsi="Cambria Math"/>
                      </w:rPr>
                      <m:t>F</m:t>
                    </m:r>
                    <m:ctrlPr>
                      <w:rPr>
                        <w:rFonts w:ascii="Cambria Math" w:hAnsi="Cambria Math"/>
                        <w:i/>
                      </w:rPr>
                    </m:ctrlPr>
                  </m:e>
                  <m:sub>
                    <m:r>
                      <m:rPr/>
                      <w:rPr>
                        <w:rFonts w:ascii="Cambria Math" w:hAnsi="Cambria Math"/>
                      </w:rPr>
                      <m:t>b</m:t>
                    </m:r>
                    <m:ctrlPr>
                      <w:rPr>
                        <w:rFonts w:ascii="Cambria Math" w:hAnsi="Cambria Math"/>
                        <w:i/>
                      </w:rPr>
                    </m:ctrlPr>
                  </m:sub>
                </m:sSub>
              </m:oMath>
            </m:oMathPara>
          </w:p>
        </w:tc>
        <w:tc>
          <w:tcPr>
            <w:tcW w:w="1468" w:type="dxa"/>
            <w:vAlign w:val="center"/>
          </w:tcPr>
          <w:p>
            <w:pPr>
              <w:pStyle w:val="59"/>
              <w:rPr>
                <w:szCs w:val="24"/>
              </w:rPr>
            </w:pPr>
            <w:r>
              <w:rPr>
                <w:rFonts w:hint="eastAsia"/>
                <w:szCs w:val="24"/>
              </w:rPr>
              <w:t>（4</w:t>
            </w:r>
            <w:r>
              <w:rPr>
                <w:szCs w:val="24"/>
              </w:rPr>
              <w:t>.2.2</w:t>
            </w:r>
            <w:r>
              <w:rPr>
                <w:rFonts w:hint="eastAsia"/>
                <w:szCs w:val="24"/>
              </w:rPr>
              <w:t>-</w:t>
            </w:r>
            <w:r>
              <w:rPr>
                <w:szCs w:val="24"/>
              </w:rPr>
              <w:t>2</w:t>
            </w:r>
            <w:r>
              <w:rPr>
                <w:rFonts w:hint="eastAsia"/>
                <w:szCs w:val="24"/>
              </w:rPr>
              <w:t>）</w:t>
            </w:r>
          </w:p>
        </w:tc>
      </w:tr>
    </w:tbl>
    <w:p>
      <w:pPr>
        <w:ind w:firstLine="0" w:firstLineChars="0"/>
      </w:pPr>
      <w:r>
        <w:rPr>
          <w:rFonts w:hint="eastAsia"/>
        </w:rPr>
        <w:t>式中：</w:t>
      </w:r>
    </w:p>
    <w:p>
      <w:pPr>
        <w:ind w:firstLine="480"/>
      </w:pPr>
      <w:r>
        <w:rPr>
          <w:position w:val="-12"/>
        </w:rPr>
        <w:object>
          <v:shape id="_x0000_i1028" o:spt="75" type="#_x0000_t75" style="height:19pt;width:14.25pt;" o:ole="t" filled="f" o:preferrelative="t" stroked="f" coordsize="21600,21600">
            <v:path/>
            <v:fill on="f" focussize="0,0"/>
            <v:stroke on="f" joinstyle="miter"/>
            <v:imagedata r:id="rId27" o:title=""/>
            <o:lock v:ext="edit" aspectratio="t"/>
            <w10:wrap type="none"/>
            <w10:anchorlock/>
          </v:shape>
          <o:OLEObject Type="Embed" ProgID="Equation.DSMT4" ShapeID="_x0000_i1028" DrawAspect="Content" ObjectID="_1468075728" r:id="rId26">
            <o:LockedField>false</o:LockedField>
          </o:OLEObject>
        </w:object>
      </w:r>
      <w:r>
        <w:rPr>
          <w:rFonts w:cs="Times New Roman"/>
          <w:sz w:val="21"/>
        </w:rPr>
        <w:t>——</w:t>
      </w:r>
      <w:r>
        <w:rPr>
          <w:rFonts w:hint="eastAsia"/>
        </w:rPr>
        <w:t>下锚缆拉力水平分力（</w:t>
      </w:r>
      <w:r>
        <w:t>kN</w:t>
      </w:r>
      <w:r>
        <w:rPr>
          <w:rFonts w:hint="eastAsia"/>
        </w:rPr>
        <w:t>）；</w:t>
      </w:r>
    </w:p>
    <w:p>
      <w:pPr>
        <w:ind w:firstLine="480"/>
      </w:pPr>
      <m:oMath>
        <m:sSub>
          <m:sSubPr>
            <m:ctrlPr>
              <w:rPr>
                <w:rFonts w:ascii="Cambria Math" w:hAnsi="Cambria Math"/>
                <w:i/>
              </w:rPr>
            </m:ctrlPr>
          </m:sSubPr>
          <m:e>
            <m:r>
              <m:rPr/>
              <w:rPr>
                <w:rFonts w:hint="eastAsia" w:ascii="Cambria Math" w:hAnsi="Cambria Math"/>
              </w:rPr>
              <m:t>F</m:t>
            </m:r>
            <m:ctrlPr>
              <w:rPr>
                <w:rFonts w:ascii="Cambria Math" w:hAnsi="Cambria Math"/>
                <w:i/>
              </w:rPr>
            </m:ctrlPr>
          </m:e>
          <m:sub>
            <m:r>
              <m:rPr/>
              <w:rPr>
                <w:rFonts w:ascii="Cambria Math" w:hAnsi="Cambria Math"/>
              </w:rPr>
              <m:t>t</m:t>
            </m:r>
            <m:ctrlPr>
              <w:rPr>
                <w:rFonts w:ascii="Cambria Math" w:hAnsi="Cambria Math"/>
                <w:i/>
              </w:rPr>
            </m:ctrlPr>
          </m:sub>
        </m:sSub>
      </m:oMath>
      <w:r>
        <w:rPr>
          <w:rFonts w:cs="Times New Roman"/>
          <w:sz w:val="21"/>
        </w:rPr>
        <w:t>——</w:t>
      </w:r>
      <w:r>
        <w:rPr>
          <w:rFonts w:hint="eastAsia"/>
        </w:rPr>
        <w:t>上锚缆拉力水平分力（kN）；</w:t>
      </w:r>
    </w:p>
    <w:p>
      <w:pPr>
        <w:ind w:firstLine="480"/>
      </w:pPr>
      <w:r>
        <w:rPr>
          <w:position w:val="-12"/>
        </w:rPr>
        <w:object>
          <v:shape id="_x0000_i1029" o:spt="75" type="#_x0000_t75" style="height:19pt;width:17pt;" o:ole="t" filled="f" o:preferrelative="t" stroked="f" coordsize="21600,21600">
            <v:path/>
            <v:fill on="f" focussize="0,0"/>
            <v:stroke on="f" joinstyle="miter"/>
            <v:imagedata r:id="rId29" o:title=""/>
            <o:lock v:ext="edit" aspectratio="t"/>
            <w10:wrap type="none"/>
            <w10:anchorlock/>
          </v:shape>
          <o:OLEObject Type="Embed" ProgID="Equation.DSMT4" ShapeID="_x0000_i1029" DrawAspect="Content" ObjectID="_1468075729" r:id="rId28">
            <o:LockedField>false</o:LockedField>
          </o:OLEObject>
        </w:object>
      </w:r>
      <w:r>
        <w:rPr>
          <w:rFonts w:cs="Times New Roman"/>
          <w:sz w:val="21"/>
        </w:rPr>
        <w:t>——</w:t>
      </w:r>
      <w:r>
        <w:rPr>
          <w:rFonts w:hint="eastAsia"/>
        </w:rPr>
        <w:t>作用在沉井（水中部分）上的水流阻力（</w:t>
      </w:r>
      <w:r>
        <w:t>kN</w:t>
      </w:r>
      <w:r>
        <w:rPr>
          <w:rFonts w:hint="eastAsia"/>
        </w:rPr>
        <w:t>）；</w:t>
      </w:r>
    </w:p>
    <w:p>
      <w:pPr>
        <w:ind w:firstLine="480"/>
      </w:pPr>
      <w:r>
        <w:rPr>
          <w:position w:val="-12"/>
        </w:rPr>
        <w:object>
          <v:shape id="_x0000_i1030" o:spt="75" type="#_x0000_t75" style="height:19.7pt;width:15.6pt;" o:ole="t" filled="f" o:preferrelative="t" stroked="f" coordsize="21600,21600">
            <v:path/>
            <v:fill on="f" focussize="0,0"/>
            <v:stroke on="f" joinstyle="miter"/>
            <v:imagedata r:id="rId31" o:title=""/>
            <o:lock v:ext="edit" aspectratio="t"/>
            <w10:wrap type="none"/>
            <w10:anchorlock/>
          </v:shape>
          <o:OLEObject Type="Embed" ProgID="Equation.DSMT4" ShapeID="_x0000_i1030" DrawAspect="Content" ObjectID="_1468075730" r:id="rId30">
            <o:LockedField>false</o:LockedField>
          </o:OLEObject>
        </w:object>
      </w:r>
      <w:r>
        <w:rPr>
          <w:rFonts w:cs="Times New Roman"/>
          <w:sz w:val="21"/>
        </w:rPr>
        <w:t>——</w:t>
      </w:r>
      <w:r>
        <w:rPr>
          <w:rFonts w:hint="eastAsia"/>
        </w:rPr>
        <w:t>水流阻力作用点至主缆距离（</w:t>
      </w:r>
      <w:r>
        <w:t>m</w:t>
      </w:r>
      <w:r>
        <w:rPr>
          <w:rFonts w:hint="eastAsia"/>
        </w:rPr>
        <w:t>）；</w:t>
      </w:r>
    </w:p>
    <w:p>
      <w:pPr>
        <w:ind w:firstLine="480"/>
      </w:pPr>
      <w:r>
        <w:rPr>
          <w:position w:val="-14"/>
        </w:rPr>
        <w:object>
          <v:shape id="_x0000_i1031" o:spt="75" type="#_x0000_t75" style="height:17pt;width:15.6pt;" o:ole="t" filled="f" o:preferrelative="t" stroked="f" coordsize="21600,21600">
            <v:path/>
            <v:fill on="f" focussize="0,0"/>
            <v:stroke on="f" joinstyle="miter"/>
            <v:imagedata r:id="rId33" o:title=""/>
            <o:lock v:ext="edit" aspectratio="t"/>
            <w10:wrap type="none"/>
            <w10:anchorlock/>
          </v:shape>
          <o:OLEObject Type="Embed" ProgID="Equation.DSMT4" ShapeID="_x0000_i1031" DrawAspect="Content" ObjectID="_1468075731" r:id="rId32">
            <o:LockedField>false</o:LockedField>
          </o:OLEObject>
        </w:object>
      </w:r>
      <w:r>
        <w:rPr>
          <w:rFonts w:cs="Times New Roman"/>
          <w:sz w:val="21"/>
        </w:rPr>
        <w:t>——</w:t>
      </w:r>
      <w:r>
        <w:rPr>
          <w:rFonts w:hint="eastAsia"/>
        </w:rPr>
        <w:t>作用在沉井（露出水面部分）上的风荷载（</w:t>
      </w:r>
      <w:r>
        <w:t>kN</w:t>
      </w:r>
      <w:r>
        <w:rPr>
          <w:rFonts w:hint="eastAsia"/>
        </w:rPr>
        <w:t>）；</w:t>
      </w:r>
    </w:p>
    <w:p>
      <w:pPr>
        <w:ind w:firstLine="480"/>
      </w:pPr>
      <w:r>
        <w:rPr>
          <w:position w:val="-12"/>
        </w:rPr>
        <w:object>
          <v:shape id="_x0000_i1032" o:spt="75" type="#_x0000_t75" style="height:19pt;width:13.6pt;" o:ole="t" filled="f" o:preferrelative="t" stroked="f" coordsize="21600,21600">
            <v:path/>
            <v:fill on="f" focussize="0,0"/>
            <v:stroke on="f" joinstyle="miter"/>
            <v:imagedata r:id="rId35" o:title=""/>
            <o:lock v:ext="edit" aspectratio="t"/>
            <w10:wrap type="none"/>
            <w10:anchorlock/>
          </v:shape>
          <o:OLEObject Type="Embed" ProgID="Equation.DSMT4" ShapeID="_x0000_i1032" DrawAspect="Content" ObjectID="_1468075732" r:id="rId34">
            <o:LockedField>false</o:LockedField>
          </o:OLEObject>
        </w:object>
      </w:r>
      <w:r>
        <w:rPr>
          <w:rFonts w:cs="Times New Roman"/>
          <w:sz w:val="21"/>
        </w:rPr>
        <w:t>——</w:t>
      </w:r>
      <w:r>
        <w:rPr>
          <w:rFonts w:hint="eastAsia"/>
        </w:rPr>
        <w:t>风荷载作用点至主缆距离（</w:t>
      </w:r>
      <w:r>
        <w:t>m</w:t>
      </w:r>
      <w:r>
        <w:rPr>
          <w:rFonts w:hint="eastAsia"/>
        </w:rPr>
        <w:t>）；</w:t>
      </w:r>
    </w:p>
    <w:p>
      <w:pPr>
        <w:ind w:firstLine="480"/>
      </w:pPr>
      <w:r>
        <w:rPr>
          <w:position w:val="-12"/>
        </w:rPr>
        <w:object>
          <v:shape id="_x0000_i1033" o:spt="75" type="#_x0000_t75" style="height:19pt;width:13.6pt;" o:ole="t" filled="f" o:preferrelative="t" stroked="f" coordsize="21600,21600">
            <v:path/>
            <v:fill on="f" focussize="0,0"/>
            <v:stroke on="f" joinstyle="miter"/>
            <v:imagedata r:id="rId37" o:title=""/>
            <o:lock v:ext="edit" aspectratio="t"/>
            <w10:wrap type="none"/>
            <w10:anchorlock/>
          </v:shape>
          <o:OLEObject Type="Embed" ProgID="Equation.DSMT4" ShapeID="_x0000_i1033" DrawAspect="Content" ObjectID="_1468075733" r:id="rId36">
            <o:LockedField>false</o:LockedField>
          </o:OLEObject>
        </w:object>
      </w:r>
      <w:r>
        <w:rPr>
          <w:rFonts w:cs="Times New Roman"/>
          <w:sz w:val="21"/>
        </w:rPr>
        <w:t>——</w:t>
      </w:r>
      <w:r>
        <w:rPr>
          <w:rFonts w:hint="eastAsia"/>
        </w:rPr>
        <w:t>作用在沉井上的波浪力（</w:t>
      </w:r>
      <w:r>
        <w:t>kN</w:t>
      </w:r>
      <w:r>
        <w:rPr>
          <w:rFonts w:hint="eastAsia"/>
        </w:rPr>
        <w:t>）；</w:t>
      </w:r>
    </w:p>
    <w:p>
      <w:pPr>
        <w:ind w:firstLine="480"/>
      </w:pPr>
      <w:r>
        <w:rPr>
          <w:position w:val="-12"/>
        </w:rPr>
        <w:object>
          <v:shape id="_x0000_i1034" o:spt="75" type="#_x0000_t75" style="height:19pt;width:12.25pt;" o:ole="t" filled="f" o:preferrelative="t" stroked="f" coordsize="21600,21600">
            <v:path/>
            <v:fill on="f" focussize="0,0"/>
            <v:stroke on="f" joinstyle="miter"/>
            <v:imagedata r:id="rId39" o:title=""/>
            <o:lock v:ext="edit" aspectratio="t"/>
            <w10:wrap type="none"/>
            <w10:anchorlock/>
          </v:shape>
          <o:OLEObject Type="Embed" ProgID="Equation.DSMT4" ShapeID="_x0000_i1034" DrawAspect="Content" ObjectID="_1468075734" r:id="rId38">
            <o:LockedField>false</o:LockedField>
          </o:OLEObject>
        </w:object>
      </w:r>
      <w:r>
        <w:rPr>
          <w:rFonts w:cs="Times New Roman"/>
          <w:sz w:val="21"/>
        </w:rPr>
        <w:t>——</w:t>
      </w:r>
      <w:r>
        <w:rPr>
          <w:rFonts w:hint="eastAsia"/>
        </w:rPr>
        <w:t>波浪力作用点至主缆距离（</w:t>
      </w:r>
      <w:r>
        <w:t>m</w:t>
      </w:r>
      <w:r>
        <w:rPr>
          <w:rFonts w:hint="eastAsia"/>
        </w:rPr>
        <w:t>）；</w:t>
      </w:r>
    </w:p>
    <w:p>
      <w:pPr>
        <w:ind w:firstLine="480"/>
      </w:pPr>
      <w:r>
        <w:rPr>
          <w:position w:val="-12"/>
        </w:rPr>
        <w:object>
          <v:shape id="_x0000_i1035" o:spt="75" type="#_x0000_t75" style="height:19pt;width:13.6pt;" o:ole="t" filled="f" o:preferrelative="t" stroked="f" coordsize="21600,21600">
            <v:path/>
            <v:fill on="f" focussize="0,0"/>
            <v:stroke on="f" joinstyle="miter"/>
            <v:imagedata r:id="rId41" o:title=""/>
            <o:lock v:ext="edit" aspectratio="t"/>
            <w10:wrap type="none"/>
            <w10:anchorlock/>
          </v:shape>
          <o:OLEObject Type="Embed" ProgID="Equation.DSMT4" ShapeID="_x0000_i1035" DrawAspect="Content" ObjectID="_1468075735" r:id="rId40">
            <o:LockedField>false</o:LockedField>
          </o:OLEObject>
        </w:object>
      </w:r>
      <w:r>
        <w:rPr>
          <w:rFonts w:cs="Times New Roman"/>
          <w:sz w:val="21"/>
        </w:rPr>
        <w:t>——</w:t>
      </w:r>
      <w:r>
        <w:rPr>
          <w:rFonts w:hint="eastAsia"/>
        </w:rPr>
        <w:t>下锚缆至主缆距离（</w:t>
      </w:r>
      <w:r>
        <w:t>m</w:t>
      </w:r>
      <w:r>
        <w:rPr>
          <w:rFonts w:hint="eastAsia"/>
        </w:rPr>
        <w:t>）。</w:t>
      </w:r>
    </w:p>
    <w:p>
      <w:pPr>
        <w:pStyle w:val="5"/>
        <w:ind w:firstLine="480"/>
      </w:pPr>
      <w:r>
        <w:rPr>
          <w:rFonts w:hint="eastAsia"/>
        </w:rPr>
        <w:t>对于不受波浪影响的水中沉井基础，当采用柔性或半刚性定位系统时，可不考虑波浪力的影响。</w:t>
      </w:r>
    </w:p>
    <w:p>
      <w:pPr>
        <w:pStyle w:val="3"/>
        <w:spacing w:before="312"/>
      </w:pPr>
      <w:bookmarkStart w:id="63" w:name="_Toc112317321"/>
      <w:r>
        <w:rPr>
          <w:rFonts w:hint="eastAsia"/>
        </w:rPr>
        <w:t>沉井下沉计算</w:t>
      </w:r>
      <w:bookmarkEnd w:id="63"/>
    </w:p>
    <w:p>
      <w:pPr>
        <w:pStyle w:val="4"/>
      </w:pPr>
      <w:bookmarkStart w:id="64" w:name="_Toc104109416"/>
      <w:bookmarkStart w:id="65" w:name="_Toc71191377"/>
      <w:bookmarkStart w:id="66" w:name="_Toc77763466"/>
      <w:r>
        <w:rPr>
          <w:rFonts w:hint="eastAsia"/>
        </w:rPr>
        <w:t>沉井取土下沉端</w:t>
      </w:r>
      <w:r>
        <w:t>阻力</w:t>
      </w:r>
      <w:r>
        <w:rPr>
          <w:rFonts w:hint="eastAsia"/>
        </w:rPr>
        <w:t>应采用地基极限承载力进行计算分析，地基极限承载力宜通过载荷板试验获得；当无极限地基承载力现场勘测值时，可基于地勘获取的地基土体物理力学指标，采用理论公式或数值计算分析确定，计算时应考虑支撑土体的开挖宽度和深度以及沉井结构尺寸等三维效应的影响。</w:t>
      </w:r>
      <w:bookmarkEnd w:id="64"/>
    </w:p>
    <w:bookmarkEnd w:id="65"/>
    <w:bookmarkEnd w:id="66"/>
    <w:p>
      <w:pPr>
        <w:pStyle w:val="4"/>
      </w:pPr>
      <w:bookmarkStart w:id="67" w:name="_Toc71191378"/>
      <w:bookmarkStart w:id="68" w:name="_Toc77763467"/>
      <w:bookmarkStart w:id="69" w:name="_Toc104109417"/>
      <w:r>
        <w:rPr>
          <w:rFonts w:hint="eastAsia"/>
        </w:rPr>
        <w:t>沉井侧壁摩阻力，宜按下列公式计算：</w:t>
      </w:r>
      <w:bookmarkEnd w:id="67"/>
      <w:bookmarkEnd w:id="68"/>
      <w:bookmarkEnd w:id="69"/>
    </w:p>
    <w:p>
      <w:pPr>
        <w:pStyle w:val="5"/>
        <w:ind w:firstLine="480"/>
      </w:pPr>
      <w:r>
        <w:rPr>
          <w:rFonts w:hint="eastAsia"/>
        </w:rPr>
        <w:t>井壁、隔墙外侧与土层间的极限侧阻力应根据工程地质条件，通过试验或对比工程的经验资料确定。当无试验或无可靠资料时，可按下列公式进行计算：</w:t>
      </w:r>
    </w:p>
    <w:p>
      <w:pPr>
        <w:pStyle w:val="6"/>
        <w:ind w:left="960" w:right="480" w:hanging="480"/>
      </w:pPr>
      <w:r>
        <w:rPr>
          <w:rFonts w:hint="eastAsia"/>
        </w:rPr>
        <w:t>黏土中极限侧阻力值宜按下列计算公式：</w:t>
      </w:r>
    </w:p>
    <w:tbl>
      <w:tblPr>
        <w:tblStyle w:val="2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04"/>
        <w:gridCol w:w="15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804" w:type="dxa"/>
          </w:tcPr>
          <w:p>
            <w:pPr>
              <w:pStyle w:val="59"/>
            </w:pPr>
            <w:r>
              <w:object>
                <v:shape id="_x0000_i1036" o:spt="75" type="#_x0000_t75" style="height:19pt;width:43.45pt;" o:ole="t" filled="f" o:preferrelative="t" stroked="f" coordsize="21600,21600">
                  <v:path/>
                  <v:fill on="f" focussize="0,0"/>
                  <v:stroke on="f" joinstyle="miter"/>
                  <v:imagedata r:id="rId43" o:title=""/>
                  <o:lock v:ext="edit" aspectratio="t"/>
                  <w10:wrap type="none"/>
                  <w10:anchorlock/>
                </v:shape>
                <o:OLEObject Type="Embed" ProgID="Equation.DSMT4" ShapeID="_x0000_i1036" DrawAspect="Content" ObjectID="_1468075736" r:id="rId42">
                  <o:LockedField>false</o:LockedField>
                </o:OLEObject>
              </w:object>
            </w:r>
          </w:p>
        </w:tc>
        <w:tc>
          <w:tcPr>
            <w:tcW w:w="1502" w:type="dxa"/>
            <w:vAlign w:val="center"/>
          </w:tcPr>
          <w:p>
            <w:pPr>
              <w:pStyle w:val="59"/>
            </w:pPr>
            <w:r>
              <w:rPr>
                <w:rFonts w:hint="eastAsia"/>
                <w:szCs w:val="24"/>
              </w:rPr>
              <w:t>（</w:t>
            </w:r>
            <w:r>
              <w:rPr>
                <w:szCs w:val="24"/>
              </w:rPr>
              <w:t>4.3.2-1</w:t>
            </w:r>
            <w:r>
              <w:rPr>
                <w:rFonts w:hint="eastAsia"/>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804" w:type="dxa"/>
          </w:tcPr>
          <w:p>
            <w:pPr>
              <w:pStyle w:val="59"/>
            </w:pPr>
            <w:r>
              <w:object>
                <v:shape id="_x0000_i1037" o:spt="75" type="#_x0000_t75" style="height:19pt;width:75.4pt;" o:ole="t" filled="f" o:preferrelative="t" stroked="f" coordsize="21600,21600">
                  <v:path/>
                  <v:fill on="f" focussize="0,0"/>
                  <v:stroke on="f" joinstyle="miter"/>
                  <v:imagedata r:id="rId45" o:title=""/>
                  <o:lock v:ext="edit" aspectratio="t"/>
                  <w10:wrap type="none"/>
                  <w10:anchorlock/>
                </v:shape>
                <o:OLEObject Type="Embed" ProgID="Equation.DSMT4" ShapeID="_x0000_i1037" DrawAspect="Content" ObjectID="_1468075737" r:id="rId44">
                  <o:LockedField>false</o:LockedField>
                </o:OLEObject>
              </w:object>
            </w:r>
          </w:p>
        </w:tc>
        <w:tc>
          <w:tcPr>
            <w:tcW w:w="1502" w:type="dxa"/>
            <w:vAlign w:val="center"/>
          </w:tcPr>
          <w:p>
            <w:pPr>
              <w:pStyle w:val="59"/>
            </w:pPr>
            <w:r>
              <w:rPr>
                <w:rFonts w:hint="eastAsia"/>
                <w:szCs w:val="24"/>
              </w:rPr>
              <w:t>（</w:t>
            </w:r>
            <w:r>
              <w:rPr>
                <w:szCs w:val="24"/>
              </w:rPr>
              <w:t>4.</w:t>
            </w:r>
            <w:r>
              <w:rPr>
                <w:rFonts w:hint="eastAsia"/>
                <w:szCs w:val="24"/>
              </w:rPr>
              <w:t>3</w:t>
            </w:r>
            <w:r>
              <w:rPr>
                <w:szCs w:val="24"/>
              </w:rPr>
              <w:t>.2</w:t>
            </w:r>
            <w:r>
              <w:rPr>
                <w:rFonts w:hint="eastAsia"/>
                <w:szCs w:val="24"/>
              </w:rPr>
              <w:t>-</w:t>
            </w:r>
            <w:r>
              <w:rPr>
                <w:szCs w:val="24"/>
              </w:rPr>
              <w:t>2</w:t>
            </w:r>
            <w:r>
              <w:rPr>
                <w:rFonts w:hint="eastAsia"/>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804" w:type="dxa"/>
          </w:tcPr>
          <w:p>
            <w:pPr>
              <w:pStyle w:val="59"/>
            </w:pPr>
            <m:oMathPara>
              <m:oMath>
                <m:r>
                  <m:rPr/>
                  <w:rPr>
                    <w:rFonts w:ascii="Cambria Math"/>
                  </w:rPr>
                  <m:t>α=</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m:rPr/>
                            <w:rPr>
                              <w:rFonts w:ascii="Cambria Math"/>
                            </w:rPr>
                            <m:t>1−(</m:t>
                          </m:r>
                          <m:sSub>
                            <m:sSubPr>
                              <m:ctrlPr>
                                <w:rPr>
                                  <w:rFonts w:ascii="Cambria Math" w:hAnsi="Cambria Math"/>
                                  <w:i/>
                                </w:rPr>
                              </m:ctrlPr>
                            </m:sSubPr>
                            <m:e>
                              <m:r>
                                <m:rPr/>
                                <w:rPr>
                                  <w:rFonts w:ascii="Cambria Math"/>
                                </w:rPr>
                                <m:t>c</m:t>
                              </m:r>
                              <m:ctrlPr>
                                <w:rPr>
                                  <w:rFonts w:ascii="Cambria Math" w:hAnsi="Cambria Math"/>
                                  <w:i/>
                                </w:rPr>
                              </m:ctrlPr>
                            </m:e>
                            <m:sub>
                              <m:r>
                                <m:rPr/>
                                <w:rPr>
                                  <w:rFonts w:ascii="Cambria Math"/>
                                </w:rPr>
                                <m:t>u</m:t>
                              </m:r>
                              <m:ctrlPr>
                                <w:rPr>
                                  <w:rFonts w:ascii="Cambria Math" w:hAnsi="Cambria Math"/>
                                  <w:i/>
                                </w:rPr>
                              </m:ctrlPr>
                            </m:sub>
                          </m:sSub>
                          <m:r>
                            <m:rPr/>
                            <w:rPr>
                              <w:rFonts w:ascii="Cambria Math"/>
                            </w:rPr>
                            <m:t>−25)/90, 25kPa&lt;</m:t>
                          </m:r>
                          <m:sSub>
                            <m:sSubPr>
                              <m:ctrlPr>
                                <w:rPr>
                                  <w:rFonts w:ascii="Cambria Math" w:hAnsi="Cambria Math"/>
                                  <w:i/>
                                </w:rPr>
                              </m:ctrlPr>
                            </m:sSubPr>
                            <m:e>
                              <m:r>
                                <m:rPr/>
                                <w:rPr>
                                  <w:rFonts w:ascii="Cambria Math"/>
                                </w:rPr>
                                <m:t>c</m:t>
                              </m:r>
                              <m:ctrlPr>
                                <w:rPr>
                                  <w:rFonts w:ascii="Cambria Math" w:hAnsi="Cambria Math"/>
                                  <w:i/>
                                </w:rPr>
                              </m:ctrlPr>
                            </m:e>
                            <m:sub>
                              <m:r>
                                <m:rPr/>
                                <w:rPr>
                                  <w:rFonts w:ascii="Cambria Math"/>
                                </w:rPr>
                                <m:t>u</m:t>
                              </m:r>
                              <m:ctrlPr>
                                <w:rPr>
                                  <w:rFonts w:ascii="Cambria Math" w:hAnsi="Cambria Math"/>
                                  <w:i/>
                                </w:rPr>
                              </m:ctrlPr>
                            </m:sub>
                          </m:sSub>
                          <m:r>
                            <m:rPr/>
                            <w:rPr>
                              <w:rFonts w:ascii="Cambria Math"/>
                            </w:rPr>
                            <m:t>&lt;70kPa</m:t>
                          </m:r>
                          <m:ctrlPr>
                            <w:rPr>
                              <w:rFonts w:ascii="Cambria Math" w:hAnsi="Cambria Math"/>
                              <w:i/>
                            </w:rPr>
                          </m:ctrlPr>
                        </m:e>
                      </m:mr>
                      <m:mr>
                        <m:e>
                          <m:r>
                            <m:rPr/>
                            <w:rPr>
                              <w:rFonts w:ascii="Cambria Math"/>
                            </w:rPr>
                            <m:t>1.0,</m:t>
                          </m:r>
                          <m:sSub>
                            <m:sSubPr>
                              <m:ctrlPr>
                                <w:rPr>
                                  <w:rFonts w:ascii="Cambria Math" w:hAnsi="Cambria Math"/>
                                  <w:i/>
                                </w:rPr>
                              </m:ctrlPr>
                            </m:sSubPr>
                            <m:e>
                              <m:r>
                                <m:rPr/>
                                <w:rPr>
                                  <w:rFonts w:ascii="Cambria Math"/>
                                </w:rPr>
                                <m:t>c</m:t>
                              </m:r>
                              <m:ctrlPr>
                                <w:rPr>
                                  <w:rFonts w:ascii="Cambria Math" w:hAnsi="Cambria Math"/>
                                  <w:i/>
                                </w:rPr>
                              </m:ctrlPr>
                            </m:e>
                            <m:sub>
                              <m:r>
                                <m:rPr/>
                                <w:rPr>
                                  <w:rFonts w:ascii="Cambria Math"/>
                                </w:rPr>
                                <m:t>u</m:t>
                              </m:r>
                              <m:ctrlPr>
                                <w:rPr>
                                  <w:rFonts w:ascii="Cambria Math" w:hAnsi="Cambria Math"/>
                                  <w:i/>
                                </w:rPr>
                              </m:ctrlPr>
                            </m:sub>
                          </m:sSub>
                          <m:r>
                            <m:rPr/>
                            <w:rPr>
                              <w:rFonts w:ascii="Cambria Math"/>
                            </w:rPr>
                            <m:t>≤25kPa</m:t>
                          </m:r>
                          <m:ctrlPr>
                            <w:rPr>
                              <w:rFonts w:ascii="Cambria Math" w:hAnsi="Cambria Math"/>
                              <w:i/>
                            </w:rPr>
                          </m:ctrlPr>
                        </m:e>
                      </m:mr>
                      <m:mr>
                        <m:e>
                          <m:r>
                            <m:rPr/>
                            <w:rPr>
                              <w:rFonts w:ascii="Cambria Math"/>
                            </w:rPr>
                            <m:t>0.5,</m:t>
                          </m:r>
                          <m:sSub>
                            <m:sSubPr>
                              <m:ctrlPr>
                                <w:rPr>
                                  <w:rFonts w:ascii="Cambria Math" w:hAnsi="Cambria Math"/>
                                  <w:i/>
                                </w:rPr>
                              </m:ctrlPr>
                            </m:sSubPr>
                            <m:e>
                              <m:r>
                                <m:rPr/>
                                <w:rPr>
                                  <w:rFonts w:ascii="Cambria Math"/>
                                </w:rPr>
                                <m:t>c</m:t>
                              </m:r>
                              <m:ctrlPr>
                                <w:rPr>
                                  <w:rFonts w:ascii="Cambria Math" w:hAnsi="Cambria Math"/>
                                  <w:i/>
                                </w:rPr>
                              </m:ctrlPr>
                            </m:e>
                            <m:sub>
                              <m:r>
                                <m:rPr/>
                                <w:rPr>
                                  <w:rFonts w:ascii="Cambria Math"/>
                                </w:rPr>
                                <m:t>u</m:t>
                              </m:r>
                              <m:ctrlPr>
                                <w:rPr>
                                  <w:rFonts w:ascii="Cambria Math" w:hAnsi="Cambria Math"/>
                                  <w:i/>
                                </w:rPr>
                              </m:ctrlPr>
                            </m:sub>
                          </m:sSub>
                          <m:r>
                            <m:rPr/>
                            <w:rPr>
                              <w:rFonts w:ascii="Cambria Math"/>
                            </w:rPr>
                            <m:t>≥70kPa</m:t>
                          </m:r>
                          <m:ctrlPr>
                            <w:rPr>
                              <w:rFonts w:ascii="Cambria Math" w:hAnsi="Cambria Math"/>
                              <w:i/>
                            </w:rPr>
                          </m:ctrlPr>
                        </m:e>
                      </m:mr>
                    </m:m>
                    <m:ctrlPr>
                      <w:rPr>
                        <w:rFonts w:ascii="Cambria Math" w:hAnsi="Cambria Math"/>
                        <w:i/>
                      </w:rPr>
                    </m:ctrlPr>
                  </m:e>
                </m:d>
              </m:oMath>
            </m:oMathPara>
          </w:p>
        </w:tc>
        <w:tc>
          <w:tcPr>
            <w:tcW w:w="1502" w:type="dxa"/>
            <w:vAlign w:val="center"/>
          </w:tcPr>
          <w:p>
            <w:pPr>
              <w:pStyle w:val="59"/>
            </w:pPr>
            <w:r>
              <w:rPr>
                <w:rFonts w:hint="eastAsia"/>
                <w:szCs w:val="24"/>
              </w:rPr>
              <w:t>（</w:t>
            </w:r>
            <w:r>
              <w:rPr>
                <w:szCs w:val="24"/>
              </w:rPr>
              <w:t>4.</w:t>
            </w:r>
            <w:r>
              <w:rPr>
                <w:rFonts w:hint="eastAsia"/>
                <w:szCs w:val="24"/>
              </w:rPr>
              <w:t>3</w:t>
            </w:r>
            <w:r>
              <w:rPr>
                <w:szCs w:val="24"/>
              </w:rPr>
              <w:t>.2</w:t>
            </w:r>
            <w:r>
              <w:rPr>
                <w:rFonts w:hint="eastAsia"/>
                <w:szCs w:val="24"/>
              </w:rPr>
              <w:t>-</w:t>
            </w:r>
            <w:r>
              <w:rPr>
                <w:szCs w:val="24"/>
              </w:rPr>
              <w:t>3</w:t>
            </w:r>
            <w:r>
              <w:rPr>
                <w:rFonts w:hint="eastAsia"/>
                <w:szCs w:val="24"/>
              </w:rPr>
              <w:t>）</w:t>
            </w:r>
          </w:p>
        </w:tc>
      </w:tr>
    </w:tbl>
    <w:p>
      <w:pPr>
        <w:ind w:firstLine="0" w:firstLineChars="0"/>
      </w:pPr>
      <w:r>
        <w:rPr>
          <w:rFonts w:hint="eastAsia"/>
        </w:rPr>
        <w:t>式中：</w:t>
      </w:r>
    </w:p>
    <w:p>
      <w:pPr>
        <w:ind w:firstLine="480"/>
      </w:pPr>
      <m:oMath>
        <m:sSub>
          <m:sSubPr>
            <m:ctrlPr>
              <w:rPr>
                <w:rFonts w:ascii="Cambria Math" w:hAnsi="Cambria Math" w:cs="Times New Roman"/>
                <w:i/>
                <w:color w:val="000000" w:themeColor="text1"/>
                <w:kern w:val="0"/>
                <w:szCs w:val="20"/>
                <w14:textFill>
                  <w14:solidFill>
                    <w14:schemeClr w14:val="tx1"/>
                  </w14:solidFill>
                </w14:textFill>
              </w:rPr>
            </m:ctrlPr>
          </m:sSubPr>
          <m:e>
            <m:r>
              <m:rPr/>
              <w:rPr>
                <w:rFonts w:ascii="Cambria Math" w:cs="Times New Roman"/>
                <w:color w:val="000000" w:themeColor="text1"/>
                <w:kern w:val="0"/>
                <w:szCs w:val="20"/>
                <w14:textFill>
                  <w14:solidFill>
                    <w14:schemeClr w14:val="tx1"/>
                  </w14:solidFill>
                </w14:textFill>
              </w:rPr>
              <m:t>f</m:t>
            </m:r>
            <m:ctrlPr>
              <w:rPr>
                <w:rFonts w:ascii="Cambria Math" w:hAnsi="Cambria Math" w:cs="Times New Roman"/>
                <w:i/>
                <w:color w:val="000000" w:themeColor="text1"/>
                <w:kern w:val="0"/>
                <w:szCs w:val="20"/>
                <w14:textFill>
                  <w14:solidFill>
                    <w14:schemeClr w14:val="tx1"/>
                  </w14:solidFill>
                </w14:textFill>
              </w:rPr>
            </m:ctrlPr>
          </m:e>
          <m:sub>
            <m:r>
              <m:rPr/>
              <w:rPr>
                <w:rFonts w:ascii="Cambria Math" w:cs="Times New Roman"/>
                <w:color w:val="000000" w:themeColor="text1"/>
                <w:kern w:val="0"/>
                <w:szCs w:val="20"/>
                <w14:textFill>
                  <w14:solidFill>
                    <w14:schemeClr w14:val="tx1"/>
                  </w14:solidFill>
                </w14:textFill>
              </w:rPr>
              <m:t>s</m:t>
            </m:r>
            <m:ctrlPr>
              <w:rPr>
                <w:rFonts w:ascii="Cambria Math" w:hAnsi="Cambria Math" w:cs="Times New Roman"/>
                <w:i/>
                <w:color w:val="000000" w:themeColor="text1"/>
                <w:kern w:val="0"/>
                <w:szCs w:val="20"/>
                <w14:textFill>
                  <w14:solidFill>
                    <w14:schemeClr w14:val="tx1"/>
                  </w14:solidFill>
                </w14:textFill>
              </w:rPr>
            </m:ctrlPr>
          </m:sub>
        </m:sSub>
      </m:oMath>
      <w:r>
        <w:rPr>
          <w:rFonts w:cs="Times New Roman"/>
          <w:sz w:val="21"/>
        </w:rPr>
        <w:t>——</w:t>
      </w:r>
      <w:r>
        <w:rPr>
          <w:rFonts w:hint="eastAsia"/>
        </w:rPr>
        <w:t>极限侧摩阻力（kPa）；</w:t>
      </w:r>
    </w:p>
    <w:p>
      <w:pPr>
        <w:ind w:firstLine="480"/>
      </w:pPr>
      <w:r>
        <w:rPr>
          <w:i/>
        </w:rPr>
        <w:t>α</w:t>
      </w:r>
      <w:r>
        <w:rPr>
          <w:rFonts w:cs="Times New Roman"/>
          <w:sz w:val="21"/>
        </w:rPr>
        <w:t>——</w:t>
      </w:r>
      <w:r>
        <w:rPr>
          <w:rFonts w:hint="eastAsia"/>
        </w:rPr>
        <w:t>附着因素；</w:t>
      </w:r>
    </w:p>
    <w:p>
      <w:pPr>
        <w:ind w:firstLine="480"/>
      </w:pPr>
      <m:oMath>
        <m:sSub>
          <m:sSubPr>
            <m:ctrlPr>
              <w:rPr>
                <w:rFonts w:ascii="Cambria Math" w:hAnsi="Cambria Math"/>
                <w:i/>
              </w:rPr>
            </m:ctrlPr>
          </m:sSubPr>
          <m:e>
            <m:r>
              <m:rPr/>
              <w:rPr>
                <w:rFonts w:ascii="Cambria Math"/>
              </w:rPr>
              <m:t>c</m:t>
            </m:r>
            <m:ctrlPr>
              <w:rPr>
                <w:rFonts w:ascii="Cambria Math" w:hAnsi="Cambria Math"/>
                <w:i/>
              </w:rPr>
            </m:ctrlPr>
          </m:e>
          <m:sub>
            <m:r>
              <m:rPr/>
              <w:rPr>
                <w:rFonts w:ascii="Cambria Math"/>
              </w:rPr>
              <m:t>u</m:t>
            </m:r>
            <m:ctrlPr>
              <w:rPr>
                <w:rFonts w:ascii="Cambria Math" w:hAnsi="Cambria Math"/>
                <w:i/>
              </w:rPr>
            </m:ctrlPr>
          </m:sub>
        </m:sSub>
      </m:oMath>
      <w:r>
        <w:rPr>
          <w:rFonts w:cs="Times New Roman"/>
          <w:sz w:val="21"/>
        </w:rPr>
        <w:t>——</w:t>
      </w:r>
      <w:r>
        <w:rPr>
          <w:rFonts w:hint="eastAsia"/>
        </w:rPr>
        <w:t>土体的不排水强度（kPa）；</w:t>
      </w:r>
    </w:p>
    <w:p>
      <w:pPr>
        <w:ind w:firstLine="480"/>
      </w:pPr>
      <m:oMath>
        <m:r>
          <m:rPr>
            <m:sty m:val="p"/>
          </m:rPr>
          <w:rPr>
            <w:rFonts w:ascii="Cambria Math" w:hAnsi="Cambria Math"/>
          </w:rPr>
          <m:t>σ</m:t>
        </m:r>
      </m:oMath>
      <w:r>
        <w:rPr>
          <w:rFonts w:cs="Times New Roman"/>
          <w:sz w:val="21"/>
        </w:rPr>
        <w:t>——</w:t>
      </w:r>
      <w:r>
        <w:rPr>
          <w:rFonts w:hint="eastAsia"/>
        </w:rPr>
        <w:t>侧向土压力（kPa）；</w:t>
      </w:r>
    </w:p>
    <w:p>
      <w:pPr>
        <w:ind w:firstLine="480"/>
      </w:pPr>
      <m:oMath>
        <m:r>
          <m:rPr/>
          <w:rPr>
            <w:rFonts w:ascii="Cambria Math" w:cs="Times New Roman"/>
            <w:color w:val="000000" w:themeColor="text1"/>
            <w:kern w:val="0"/>
            <w:szCs w:val="20"/>
            <w14:textFill>
              <w14:solidFill>
                <w14:schemeClr w14:val="tx1"/>
              </w14:solidFill>
            </w14:textFill>
          </w:rPr>
          <m:t>ϕ</m:t>
        </m:r>
      </m:oMath>
      <w:r>
        <w:rPr>
          <w:rFonts w:cs="Times New Roman"/>
          <w:sz w:val="21"/>
        </w:rPr>
        <w:t>——</w:t>
      </w:r>
      <w:r>
        <w:rPr>
          <w:rFonts w:hint="eastAsia" w:cs="Times New Roman"/>
          <w:color w:val="000000" w:themeColor="text1"/>
          <w14:textFill>
            <w14:solidFill>
              <w14:schemeClr w14:val="tx1"/>
            </w14:solidFill>
          </w14:textFill>
        </w:rPr>
        <w:t>土体摩擦角（°）；</w:t>
      </w:r>
    </w:p>
    <w:p>
      <w:pPr>
        <w:spacing w:line="440" w:lineRule="exact"/>
        <w:ind w:firstLine="480"/>
        <w:textAlignment w:val="center"/>
        <w:rPr>
          <w:rFonts w:cs="Times New Roman"/>
          <w:color w:val="000000" w:themeColor="text1"/>
          <w:kern w:val="0"/>
          <w:szCs w:val="20"/>
          <w14:textFill>
            <w14:solidFill>
              <w14:schemeClr w14:val="tx1"/>
            </w14:solidFill>
          </w14:textFill>
        </w:rPr>
      </w:pPr>
      <m:oMath>
        <m:r>
          <m:rPr/>
          <w:rPr>
            <w:rFonts w:ascii="Cambria Math" w:cs="Times New Roman"/>
            <w:color w:val="000000" w:themeColor="text1"/>
            <w:kern w:val="0"/>
            <w:szCs w:val="20"/>
            <w14:textFill>
              <w14:solidFill>
                <w14:schemeClr w14:val="tx1"/>
              </w14:solidFill>
            </w14:textFill>
          </w:rPr>
          <m:t>c</m:t>
        </m:r>
      </m:oMath>
      <w:r>
        <w:rPr>
          <w:rFonts w:cs="Times New Roman"/>
          <w:sz w:val="21"/>
        </w:rPr>
        <w:t>——</w:t>
      </w:r>
      <w:r>
        <w:rPr>
          <w:rFonts w:hint="eastAsia" w:cs="Times New Roman"/>
          <w:color w:val="000000" w:themeColor="text1"/>
          <w14:textFill>
            <w14:solidFill>
              <w14:schemeClr w14:val="tx1"/>
            </w14:solidFill>
          </w14:textFill>
        </w:rPr>
        <w:t>土体粘聚力（k</w:t>
      </w:r>
      <w:r>
        <w:rPr>
          <w:rFonts w:cs="Times New Roman"/>
          <w:color w:val="000000" w:themeColor="text1"/>
          <w14:textFill>
            <w14:solidFill>
              <w14:schemeClr w14:val="tx1"/>
            </w14:solidFill>
          </w14:textFill>
        </w:rPr>
        <w:t>Pa</w:t>
      </w:r>
      <w:r>
        <w:rPr>
          <w:rFonts w:hint="eastAsia" w:cs="Times New Roman"/>
          <w:color w:val="000000" w:themeColor="text1"/>
          <w14:textFill>
            <w14:solidFill>
              <w14:schemeClr w14:val="tx1"/>
            </w14:solidFill>
          </w14:textFill>
        </w:rPr>
        <w:t>）</w:t>
      </w:r>
      <w:r>
        <w:rPr>
          <w:rFonts w:hint="eastAsia" w:cs="Times New Roman"/>
          <w:color w:val="000000" w:themeColor="text1"/>
          <w:kern w:val="0"/>
          <w:szCs w:val="20"/>
          <w14:textFill>
            <w14:solidFill>
              <w14:schemeClr w14:val="tx1"/>
            </w14:solidFill>
          </w14:textFill>
        </w:rPr>
        <w:t>。</w:t>
      </w:r>
    </w:p>
    <w:p>
      <w:pPr>
        <w:pStyle w:val="6"/>
        <w:ind w:left="960" w:hanging="480"/>
      </w:pPr>
      <w:r>
        <w:rPr>
          <w:rFonts w:hint="eastAsia"/>
        </w:rPr>
        <w:t>砂土中摩阻力极限值宜按下列计算公式：</w:t>
      </w:r>
    </w:p>
    <w:tbl>
      <w:tblPr>
        <w:tblStyle w:val="2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04"/>
        <w:gridCol w:w="15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04" w:type="dxa"/>
          </w:tcPr>
          <w:p>
            <w:pPr>
              <w:pStyle w:val="59"/>
            </w:pPr>
            <w:r>
              <w:rPr>
                <w:position w:val="-12"/>
              </w:rPr>
              <w:object>
                <v:shape id="_x0000_i1038" o:spt="75" type="#_x0000_t75" style="height:17pt;width:56.4pt;" o:ole="t" filled="f" o:preferrelative="t" stroked="f" coordsize="21600,21600">
                  <v:path/>
                  <v:fill on="f" focussize="0,0"/>
                  <v:stroke on="f" joinstyle="miter"/>
                  <v:imagedata r:id="rId47" o:title=""/>
                  <o:lock v:ext="edit" aspectratio="t"/>
                  <w10:wrap type="none"/>
                  <w10:anchorlock/>
                </v:shape>
                <o:OLEObject Type="Embed" ProgID="Equation.DSMT4" ShapeID="_x0000_i1038" DrawAspect="Content" ObjectID="_1468075738" r:id="rId46">
                  <o:LockedField>false</o:LockedField>
                </o:OLEObject>
              </w:object>
            </w:r>
          </w:p>
        </w:tc>
        <w:tc>
          <w:tcPr>
            <w:tcW w:w="1502" w:type="dxa"/>
            <w:vAlign w:val="center"/>
          </w:tcPr>
          <w:p>
            <w:pPr>
              <w:pStyle w:val="59"/>
              <w:rPr>
                <w:szCs w:val="24"/>
              </w:rPr>
            </w:pPr>
            <w:r>
              <w:rPr>
                <w:rFonts w:hint="eastAsia"/>
                <w:szCs w:val="24"/>
              </w:rPr>
              <w:t>（</w:t>
            </w:r>
            <w:r>
              <w:rPr>
                <w:szCs w:val="24"/>
              </w:rPr>
              <w:t>4.3.2-4</w:t>
            </w:r>
            <w:r>
              <w:rPr>
                <w:rFonts w:hint="eastAsia"/>
                <w:szCs w:val="24"/>
              </w:rPr>
              <w:t>）</w:t>
            </w:r>
          </w:p>
        </w:tc>
      </w:tr>
    </w:tbl>
    <w:p>
      <w:pPr>
        <w:ind w:firstLine="0" w:firstLineChars="0"/>
      </w:pPr>
      <w:r>
        <w:rPr>
          <w:rFonts w:hint="eastAsia"/>
        </w:rPr>
        <w:t>式中：</w:t>
      </w:r>
    </w:p>
    <w:p>
      <w:pPr>
        <w:ind w:firstLine="480"/>
      </w:pPr>
      <w:r>
        <w:rPr>
          <w:i/>
        </w:rPr>
        <w:t>u</w:t>
      </w:r>
      <w:r>
        <w:rPr>
          <w:rFonts w:cs="Times New Roman"/>
          <w:sz w:val="21"/>
        </w:rPr>
        <w:t>——</w:t>
      </w:r>
      <w:r>
        <w:rPr>
          <w:rFonts w:hint="eastAsia"/>
        </w:rPr>
        <w:t>井壁、隔墙和土之间的摩擦系数；</w:t>
      </w:r>
    </w:p>
    <w:p>
      <w:pPr>
        <w:ind w:firstLine="480"/>
      </w:pPr>
      <m:oMath>
        <m:sSubSup>
          <m:sSubSupPr>
            <m:ctrlPr>
              <w:rPr>
                <w:rFonts w:ascii="Cambria Math" w:hAnsi="Cambria Math"/>
                <w:i/>
              </w:rPr>
            </m:ctrlPr>
          </m:sSubSupPr>
          <m:e>
            <m:r>
              <m:rPr/>
              <w:rPr>
                <w:rFonts w:ascii="Cambria Math"/>
              </w:rPr>
              <m:t>σ</m:t>
            </m:r>
            <m:ctrlPr>
              <w:rPr>
                <w:rFonts w:ascii="Cambria Math" w:hAnsi="Cambria Math"/>
                <w:i/>
              </w:rPr>
            </m:ctrlPr>
          </m:e>
          <m:sub>
            <m:r>
              <m:rPr/>
              <w:rPr>
                <w:rFonts w:ascii="Cambria Math"/>
              </w:rPr>
              <m:t>v</m:t>
            </m:r>
            <m:ctrlPr>
              <w:rPr>
                <w:rFonts w:ascii="Cambria Math" w:hAnsi="Cambria Math"/>
                <w:i/>
              </w:rPr>
            </m:ctrlPr>
          </m:sub>
          <m:sup>
            <m:r>
              <m:rPr/>
              <w:rPr>
                <w:rFonts w:ascii="Cambria Math"/>
              </w:rPr>
              <m:t>'</m:t>
            </m:r>
            <m:ctrlPr>
              <w:rPr>
                <w:rFonts w:ascii="Cambria Math" w:hAnsi="Cambria Math"/>
                <w:i/>
              </w:rPr>
            </m:ctrlPr>
          </m:sup>
        </m:sSubSup>
      </m:oMath>
      <w:r>
        <w:rPr>
          <w:rFonts w:cs="Times New Roman"/>
          <w:sz w:val="21"/>
        </w:rPr>
        <w:t>——</w:t>
      </w:r>
      <w:r>
        <w:rPr>
          <w:rFonts w:hint="eastAsia"/>
        </w:rPr>
        <w:t>竖向有效应力（kPa）；</w:t>
      </w:r>
    </w:p>
    <w:p>
      <w:pPr>
        <w:ind w:firstLine="480"/>
      </w:pPr>
      <m:oMath>
        <m:sSub>
          <m:sSubPr>
            <m:ctrlPr>
              <w:rPr>
                <w:rFonts w:ascii="Cambria Math" w:hAnsi="Cambria Math"/>
                <w:i/>
              </w:rPr>
            </m:ctrlPr>
          </m:sSubPr>
          <m:e>
            <m:r>
              <m:rPr/>
              <w:rPr>
                <w:rFonts w:ascii="Cambria Math"/>
              </w:rPr>
              <m:t>K</m:t>
            </m:r>
            <m:ctrlPr>
              <w:rPr>
                <w:rFonts w:ascii="Cambria Math" w:hAnsi="Cambria Math"/>
                <w:i/>
              </w:rPr>
            </m:ctrlPr>
          </m:e>
          <m:sub>
            <m:r>
              <m:rPr/>
              <w:rPr>
                <w:rFonts w:ascii="Cambria Math"/>
              </w:rPr>
              <m:t>0</m:t>
            </m:r>
            <m:ctrlPr>
              <w:rPr>
                <w:rFonts w:ascii="Cambria Math" w:hAnsi="Cambria Math"/>
                <w:i/>
              </w:rPr>
            </m:ctrlPr>
          </m:sub>
        </m:sSub>
      </m:oMath>
      <w:r>
        <w:rPr>
          <w:rFonts w:cs="Times New Roman"/>
          <w:sz w:val="21"/>
        </w:rPr>
        <w:t>——</w:t>
      </w:r>
      <w:r>
        <w:rPr>
          <w:rFonts w:hint="eastAsia"/>
        </w:rPr>
        <w:t>水平土压力系数。</w:t>
      </w:r>
    </w:p>
    <w:p>
      <w:pPr>
        <w:pStyle w:val="6"/>
        <w:ind w:left="960" w:hanging="480"/>
      </w:pPr>
      <w:r>
        <w:rPr>
          <w:rFonts w:hint="eastAsia"/>
        </w:rPr>
        <w:t>当沉井入土深度较深，在评估沉井下沉稳定性或进行突沉风险分析时，应考虑井壁底部以上1</w:t>
      </w:r>
      <w:r>
        <w:t>/5</w:t>
      </w:r>
      <w:r>
        <w:rPr>
          <w:rFonts w:hint="eastAsia"/>
        </w:rPr>
        <w:t>高度范围内土体应力松弛对摩阻力的折减，折减系数可取0</w:t>
      </w:r>
      <w:r>
        <w:t>.6</w:t>
      </w:r>
      <w:r>
        <w:rPr>
          <w:rFonts w:hint="eastAsia"/>
        </w:rPr>
        <w:t>~0</w:t>
      </w:r>
      <w:r>
        <w:t>.7</w:t>
      </w:r>
      <w:r>
        <w:rPr>
          <w:rFonts w:hint="eastAsia"/>
        </w:rPr>
        <w:t>。</w:t>
      </w:r>
    </w:p>
    <w:p>
      <w:pPr>
        <w:pStyle w:val="5"/>
        <w:ind w:firstLine="480"/>
      </w:pPr>
      <w:r>
        <w:rPr>
          <w:rFonts w:hint="eastAsia"/>
        </w:rPr>
        <w:t>土与沉井侧壁的总摩阻力应按如下公式计算：</w:t>
      </w:r>
    </w:p>
    <w:tbl>
      <w:tblPr>
        <w:tblStyle w:val="2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54"/>
        <w:gridCol w:w="14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54" w:type="dxa"/>
          </w:tcPr>
          <w:p>
            <w:pPr>
              <w:pStyle w:val="59"/>
              <w:rPr>
                <w:szCs w:val="24"/>
              </w:rPr>
            </w:pPr>
            <w:r>
              <w:object>
                <v:shape id="_x0000_i1039" o:spt="75" type="#_x0000_t75" style="height:19pt;width:72pt;" o:ole="t" filled="f" o:preferrelative="t" stroked="f" coordsize="21600,21600">
                  <v:path/>
                  <v:fill on="f" focussize="0,0"/>
                  <v:stroke on="f" joinstyle="miter"/>
                  <v:imagedata r:id="rId49" o:title=""/>
                  <o:lock v:ext="edit" aspectratio="t"/>
                  <w10:wrap type="none"/>
                  <w10:anchorlock/>
                </v:shape>
                <o:OLEObject Type="Embed" ProgID="Equation.DSMT4" ShapeID="_x0000_i1039" DrawAspect="Content" ObjectID="_1468075739" r:id="rId48">
                  <o:LockedField>false</o:LockedField>
                </o:OLEObject>
              </w:object>
            </w:r>
          </w:p>
        </w:tc>
        <w:tc>
          <w:tcPr>
            <w:tcW w:w="1468" w:type="dxa"/>
            <w:vAlign w:val="center"/>
          </w:tcPr>
          <w:p>
            <w:pPr>
              <w:pStyle w:val="59"/>
              <w:rPr>
                <w:szCs w:val="24"/>
              </w:rPr>
            </w:pPr>
            <w:r>
              <w:rPr>
                <w:rFonts w:hint="eastAsia"/>
                <w:szCs w:val="24"/>
              </w:rPr>
              <w:t>（</w:t>
            </w:r>
            <w:r>
              <w:rPr>
                <w:szCs w:val="24"/>
              </w:rPr>
              <w:t>4.</w:t>
            </w:r>
            <w:r>
              <w:rPr>
                <w:rFonts w:hint="eastAsia"/>
                <w:szCs w:val="24"/>
              </w:rPr>
              <w:t>3</w:t>
            </w:r>
            <w:r>
              <w:rPr>
                <w:szCs w:val="24"/>
              </w:rPr>
              <w:t>.2</w:t>
            </w:r>
            <w:r>
              <w:rPr>
                <w:rFonts w:hint="eastAsia"/>
                <w:szCs w:val="24"/>
              </w:rPr>
              <w:t>-</w:t>
            </w:r>
            <w:r>
              <w:rPr>
                <w:szCs w:val="24"/>
              </w:rPr>
              <w:t>5</w:t>
            </w:r>
            <w:r>
              <w:rPr>
                <w:rFonts w:hint="eastAsia"/>
                <w:szCs w:val="24"/>
              </w:rPr>
              <w:t>）</w:t>
            </w:r>
          </w:p>
        </w:tc>
      </w:tr>
    </w:tbl>
    <w:p>
      <w:pPr>
        <w:ind w:firstLine="0" w:firstLineChars="0"/>
      </w:pPr>
      <w:r>
        <w:rPr>
          <w:rFonts w:hint="eastAsia"/>
        </w:rPr>
        <w:t>式中：</w:t>
      </w:r>
    </w:p>
    <w:p>
      <w:pPr>
        <w:ind w:firstLine="480"/>
      </w:pPr>
      <w:r>
        <w:rPr>
          <w:position w:val="-14"/>
        </w:rPr>
        <w:object>
          <v:shape id="_x0000_i1040" o:spt="75" type="#_x0000_t75" style="height:19pt;width:13.6pt;" o:ole="t" filled="f" o:preferrelative="t" stroked="f" coordsize="21600,21600">
            <v:path/>
            <v:fill on="f" focussize="0,0"/>
            <v:stroke on="f" joinstyle="miter"/>
            <v:imagedata r:id="rId51" o:title=""/>
            <o:lock v:ext="edit" aspectratio="t"/>
            <w10:wrap type="none"/>
            <w10:anchorlock/>
          </v:shape>
          <o:OLEObject Type="Embed" ProgID="Equation.DSMT4" ShapeID="_x0000_i1040" DrawAspect="Content" ObjectID="_1468075740" r:id="rId50">
            <o:LockedField>false</o:LockedField>
          </o:OLEObject>
        </w:object>
      </w:r>
      <w:r>
        <w:rPr>
          <w:rFonts w:cs="Times New Roman"/>
          <w:sz w:val="21"/>
        </w:rPr>
        <w:t>——</w:t>
      </w:r>
      <w:r>
        <w:rPr>
          <w:rFonts w:hint="eastAsia"/>
        </w:rPr>
        <w:t>侧壁与土的总摩阻力标准值（</w:t>
      </w:r>
      <w:r>
        <w:t>kN</w:t>
      </w:r>
      <w:r>
        <w:rPr>
          <w:rFonts w:hint="eastAsia"/>
        </w:rPr>
        <w:t>）；</w:t>
      </w:r>
    </w:p>
    <w:p>
      <w:pPr>
        <w:ind w:firstLine="480"/>
      </w:pPr>
      <w:r>
        <w:rPr>
          <w:position w:val="-6"/>
        </w:rPr>
        <w:object>
          <v:shape id="_x0000_i1041" o:spt="75" type="#_x0000_t75" style="height:13.6pt;width:12.25pt;" o:ole="t" filled="f" o:preferrelative="t" stroked="f" coordsize="21600,21600">
            <v:path/>
            <v:fill on="f" focussize="0,0"/>
            <v:stroke on="f" joinstyle="miter"/>
            <v:imagedata r:id="rId53" o:title=""/>
            <o:lock v:ext="edit" aspectratio="t"/>
            <w10:wrap type="none"/>
            <w10:anchorlock/>
          </v:shape>
          <o:OLEObject Type="Embed" ProgID="Equation.DSMT4" ShapeID="_x0000_i1041" DrawAspect="Content" ObjectID="_1468075741" r:id="rId52">
            <o:LockedField>false</o:LockedField>
          </o:OLEObject>
        </w:object>
      </w:r>
      <w:r>
        <w:rPr>
          <w:rFonts w:cs="Times New Roman"/>
          <w:sz w:val="21"/>
        </w:rPr>
        <w:t>——</w:t>
      </w:r>
      <w:r>
        <w:rPr>
          <w:rFonts w:hint="eastAsia"/>
        </w:rPr>
        <w:t>沉井侧壁外围周长（</w:t>
      </w:r>
      <w:r>
        <w:t>m</w:t>
      </w:r>
      <w:r>
        <w:rPr>
          <w:rFonts w:hint="eastAsia"/>
        </w:rPr>
        <w:t>）；</w:t>
      </w:r>
    </w:p>
    <w:p>
      <w:pPr>
        <w:ind w:left="1320" w:leftChars="200" w:hanging="840" w:hangingChars="350"/>
      </w:pPr>
      <w:r>
        <w:rPr>
          <w:i/>
          <w:position w:val="-12"/>
        </w:rPr>
        <w:object>
          <v:shape id="_x0000_i1042" o:spt="75" type="#_x0000_t75" style="height:19pt;width:17pt;" o:ole="t" filled="f" o:preferrelative="t" stroked="f" coordsize="21600,21600">
            <v:path/>
            <v:fill on="f" focussize="0,0"/>
            <v:stroke on="f" joinstyle="miter"/>
            <v:imagedata r:id="rId55" o:title=""/>
            <o:lock v:ext="edit" aspectratio="t"/>
            <w10:wrap type="none"/>
            <w10:anchorlock/>
          </v:shape>
          <o:OLEObject Type="Embed" ProgID="Equation.DSMT4" ShapeID="_x0000_i1042" DrawAspect="Content" ObjectID="_1468075742" r:id="rId54">
            <o:LockedField>false</o:LockedField>
          </o:OLEObject>
        </w:object>
      </w:r>
      <w:r>
        <w:rPr>
          <w:rFonts w:cs="Times New Roman"/>
          <w:sz w:val="21"/>
        </w:rPr>
        <w:t>——</w:t>
      </w:r>
      <w:r>
        <w:rPr>
          <w:rFonts w:hint="eastAsia"/>
        </w:rPr>
        <w:t>第</w:t>
      </w:r>
      <w:r>
        <w:rPr>
          <w:i/>
        </w:rPr>
        <w:t>i</w:t>
      </w:r>
      <w:r>
        <w:rPr>
          <w:rFonts w:hint="eastAsia"/>
        </w:rPr>
        <w:t>层土单位周长的摩阻力（</w:t>
      </w:r>
      <w:r>
        <w:t>kPa</w:t>
      </w:r>
      <w:r>
        <w:rPr>
          <w:rFonts w:hint="eastAsia"/>
        </w:rPr>
        <w:t>），距离地面5m范围内按照三角形分布等效计算；</w:t>
      </w:r>
    </w:p>
    <w:p>
      <w:pPr>
        <w:ind w:firstLine="480"/>
      </w:pPr>
      <w:r>
        <w:rPr>
          <w:position w:val="-12"/>
        </w:rPr>
        <w:object>
          <v:shape id="_x0000_i1043" o:spt="75" type="#_x0000_t75" style="height:19pt;width:17pt;" o:ole="t" filled="f" o:preferrelative="t" stroked="f" coordsize="21600,21600">
            <v:path/>
            <v:fill on="f" focussize="0,0"/>
            <v:stroke on="f" joinstyle="miter"/>
            <v:imagedata r:id="rId57" o:title=""/>
            <o:lock v:ext="edit" aspectratio="t"/>
            <w10:wrap type="none"/>
            <w10:anchorlock/>
          </v:shape>
          <o:OLEObject Type="Embed" ProgID="Equation.DSMT4" ShapeID="_x0000_i1043" DrawAspect="Content" ObjectID="_1468075743" r:id="rId56">
            <o:LockedField>false</o:LockedField>
          </o:OLEObject>
        </w:object>
      </w:r>
      <w:r>
        <w:rPr>
          <w:rFonts w:cs="Times New Roman"/>
          <w:sz w:val="21"/>
        </w:rPr>
        <w:t>——</w:t>
      </w:r>
      <w:r>
        <w:rPr>
          <w:rFonts w:hint="eastAsia"/>
        </w:rPr>
        <w:t>第</w:t>
      </w:r>
      <w:r>
        <w:rPr>
          <w:i/>
        </w:rPr>
        <w:t>i</w:t>
      </w:r>
      <w:r>
        <w:rPr>
          <w:rFonts w:hint="eastAsia"/>
        </w:rPr>
        <w:t>层土的厚度（</w:t>
      </w:r>
      <w:r>
        <w:t>m</w:t>
      </w:r>
      <w:r>
        <w:rPr>
          <w:rFonts w:hint="eastAsia"/>
        </w:rPr>
        <w:t>）。</w:t>
      </w:r>
    </w:p>
    <w:p>
      <w:pPr>
        <w:pStyle w:val="4"/>
      </w:pPr>
      <w:bookmarkStart w:id="70" w:name="_Toc77763468"/>
      <w:bookmarkStart w:id="71" w:name="_Toc71191379"/>
      <w:bookmarkStart w:id="72" w:name="_Toc104109418"/>
      <w:r>
        <w:rPr>
          <w:rFonts w:hint="eastAsia"/>
        </w:rPr>
        <w:t>沉井下沉系数按下列公式计算：</w:t>
      </w:r>
      <w:bookmarkEnd w:id="70"/>
      <w:bookmarkEnd w:id="71"/>
      <w:bookmarkEnd w:id="72"/>
    </w:p>
    <w:tbl>
      <w:tblPr>
        <w:tblStyle w:val="2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99"/>
        <w:gridCol w:w="14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99" w:type="dxa"/>
            <w:vAlign w:val="center"/>
          </w:tcPr>
          <w:p>
            <w:pPr>
              <w:pStyle w:val="59"/>
              <w:rPr>
                <w:rFonts w:cs="宋体"/>
              </w:rPr>
            </w:pPr>
            <m:oMathPara>
              <m:oMath>
                <m:sSub>
                  <m:sSubPr>
                    <m:ctrlPr>
                      <w:rPr>
                        <w:rFonts w:ascii="Cambria Math" w:hAnsi="Cambria Math"/>
                      </w:rPr>
                    </m:ctrlPr>
                  </m:sSubPr>
                  <m:e>
                    <m:r>
                      <m:rPr/>
                      <w:rPr>
                        <w:rFonts w:ascii="Cambria Math" w:hAnsi="Cambria Math"/>
                      </w:rPr>
                      <m:t>k</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G</m:t>
                        </m:r>
                        <m:ctrlPr>
                          <w:rPr>
                            <w:rFonts w:ascii="Cambria Math" w:hAnsi="Cambria Math"/>
                          </w:rPr>
                        </m:ctrlPr>
                      </m:e>
                      <m:sub>
                        <m:r>
                          <m:rPr/>
                          <w:rPr>
                            <w:rFonts w:ascii="Cambria Math" w:hAnsi="Cambria Math"/>
                          </w:rPr>
                          <m:t>k</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F</m:t>
                        </m:r>
                        <m:ctrlPr>
                          <w:rPr>
                            <w:rFonts w:ascii="Cambria Math" w:hAnsi="Cambria Math"/>
                          </w:rPr>
                        </m:ctrlPr>
                      </m:e>
                      <m:sub>
                        <m:r>
                          <m:rPr/>
                          <w:rPr>
                            <w:rFonts w:ascii="Cambria Math" w:hAnsi="Cambria Math"/>
                          </w:rPr>
                          <m:t>w</m:t>
                        </m:r>
                        <m:ctrlPr>
                          <w:rPr>
                            <w:rFonts w:ascii="Cambria Math" w:hAnsi="Cambria Math"/>
                          </w:rPr>
                        </m:ctrlPr>
                      </m:sub>
                    </m:sSub>
                    <m:ctrlPr>
                      <w:rPr>
                        <w:rFonts w:ascii="Cambria Math" w:hAnsi="Cambria Math"/>
                      </w:rPr>
                    </m:ctrlPr>
                  </m:num>
                  <m:den>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f</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R</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R</m:t>
                        </m:r>
                        <m:ctrlPr>
                          <w:rPr>
                            <w:rFonts w:ascii="Cambria Math" w:hAnsi="Cambria Math"/>
                          </w:rPr>
                        </m:ctrlPr>
                      </m:e>
                      <m:sub>
                        <m:r>
                          <m:rPr>
                            <m:sty m:val="p"/>
                          </m:rPr>
                          <w:rPr>
                            <w:rFonts w:ascii="Cambria Math" w:hAnsi="Cambria Math"/>
                          </w:rPr>
                          <m:t>2</m:t>
                        </m:r>
                        <m:ctrlPr>
                          <w:rPr>
                            <w:rFonts w:ascii="Cambria Math" w:hAnsi="Cambria Math"/>
                          </w:rPr>
                        </m:ctrlPr>
                      </m:sub>
                    </m:sSub>
                    <m:ctrlPr>
                      <w:rPr>
                        <w:rFonts w:ascii="Cambria Math" w:hAnsi="Cambria Math"/>
                      </w:rPr>
                    </m:ctrlPr>
                  </m:den>
                </m:f>
              </m:oMath>
            </m:oMathPara>
          </w:p>
        </w:tc>
        <w:tc>
          <w:tcPr>
            <w:tcW w:w="1497" w:type="dxa"/>
            <w:vAlign w:val="center"/>
          </w:tcPr>
          <w:p>
            <w:pPr>
              <w:pStyle w:val="59"/>
              <w:rPr>
                <w:szCs w:val="24"/>
              </w:rPr>
            </w:pPr>
            <w:r>
              <w:rPr>
                <w:rFonts w:hint="eastAsia"/>
                <w:szCs w:val="24"/>
              </w:rPr>
              <w:t>（</w:t>
            </w:r>
            <w:r>
              <w:rPr>
                <w:szCs w:val="24"/>
              </w:rPr>
              <w:t>4.</w:t>
            </w:r>
            <w:r>
              <w:rPr>
                <w:rFonts w:hint="eastAsia"/>
                <w:szCs w:val="24"/>
              </w:rPr>
              <w:t>3</w:t>
            </w:r>
            <w:r>
              <w:rPr>
                <w:szCs w:val="24"/>
              </w:rPr>
              <w:t>.3-1</w:t>
            </w:r>
            <w:r>
              <w:rPr>
                <w:rFonts w:hint="eastAsia"/>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6799" w:type="dxa"/>
            <w:vAlign w:val="center"/>
          </w:tcPr>
          <w:p>
            <w:pPr>
              <w:pStyle w:val="59"/>
              <w:rPr>
                <w:rFonts w:cs="宋体"/>
              </w:rPr>
            </w:pPr>
            <m:oMathPara>
              <m:oMath>
                <m:sSub>
                  <m:sSubPr>
                    <m:ctrlPr>
                      <w:rPr>
                        <w:rFonts w:ascii="Cambria Math" w:hAnsi="Cambria Math"/>
                      </w:rPr>
                    </m:ctrlPr>
                  </m:sSubPr>
                  <m:e>
                    <m:r>
                      <m:rPr/>
                      <w:rPr>
                        <w:rFonts w:ascii="Cambria Math" w:hAnsi="Cambria Math"/>
                      </w:rPr>
                      <m:t>F</m:t>
                    </m:r>
                    <m:ctrlPr>
                      <w:rPr>
                        <w:rFonts w:ascii="Cambria Math" w:hAnsi="Cambria Math"/>
                      </w:rPr>
                    </m:ctrlPr>
                  </m:e>
                  <m:sub>
                    <m:r>
                      <m:rPr/>
                      <w:rPr>
                        <w:rFonts w:ascii="Cambria Math" w:hAnsi="Cambria Math"/>
                      </w:rPr>
                      <m:t>w</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γ</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V</m:t>
                </m:r>
              </m:oMath>
            </m:oMathPara>
          </w:p>
        </w:tc>
        <w:tc>
          <w:tcPr>
            <w:tcW w:w="1497" w:type="dxa"/>
            <w:vAlign w:val="center"/>
          </w:tcPr>
          <w:p>
            <w:pPr>
              <w:pStyle w:val="59"/>
              <w:rPr>
                <w:szCs w:val="24"/>
              </w:rPr>
            </w:pPr>
            <w:r>
              <w:rPr>
                <w:rFonts w:hint="eastAsia"/>
                <w:szCs w:val="24"/>
              </w:rPr>
              <w:t>（</w:t>
            </w:r>
            <w:r>
              <w:rPr>
                <w:szCs w:val="24"/>
              </w:rPr>
              <w:t>4.</w:t>
            </w:r>
            <w:r>
              <w:rPr>
                <w:rFonts w:hint="eastAsia"/>
                <w:szCs w:val="24"/>
              </w:rPr>
              <w:t>3</w:t>
            </w:r>
            <w:r>
              <w:rPr>
                <w:szCs w:val="24"/>
              </w:rPr>
              <w:t>.3-2</w:t>
            </w:r>
            <w:r>
              <w:rPr>
                <w:rFonts w:hint="eastAsia"/>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6799" w:type="dxa"/>
            <w:vAlign w:val="center"/>
          </w:tcPr>
          <w:p>
            <w:pPr>
              <w:pStyle w:val="59"/>
              <w:rPr>
                <w:rFonts w:cs="宋体"/>
              </w:rP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i/>
                      </w:rPr>
                    </m:ctrlPr>
                  </m:sSubPr>
                  <m:e>
                    <m:r>
                      <m:rPr/>
                      <w:rPr>
                        <w:rFonts w:ascii="Cambria Math" w:hAnsi="Cambria Math"/>
                      </w:rPr>
                      <m:t>A</m:t>
                    </m:r>
                    <m:ctrlPr>
                      <w:rPr>
                        <w:rFonts w:ascii="Cambria Math" w:hAnsi="Cambria Math"/>
                        <w:i/>
                      </w:rPr>
                    </m:ctrlPr>
                  </m:e>
                  <m:sub>
                    <m:r>
                      <m:rPr/>
                      <w:rPr>
                        <w:rFonts w:ascii="Cambria Math" w:hAnsi="Cambria Math"/>
                      </w:rPr>
                      <m:t>1</m:t>
                    </m:r>
                    <m:ctrlPr>
                      <w:rPr>
                        <w:rFonts w:ascii="Cambria Math" w:hAnsi="Cambria Math"/>
                        <w:i/>
                      </w:rPr>
                    </m:ctrlPr>
                  </m:sub>
                </m:sSub>
                <m:sSub>
                  <m:sSubPr>
                    <m:ctrlPr>
                      <w:rPr>
                        <w:rFonts w:ascii="Cambria Math" w:hAnsi="Cambria Math"/>
                      </w:rPr>
                    </m:ctrlPr>
                  </m:sSubPr>
                  <m:e>
                    <m:r>
                      <m:rPr/>
                      <w:rPr>
                        <w:rFonts w:ascii="Cambria Math" w:hAnsi="Cambria Math"/>
                      </w:rPr>
                      <m:t>f</m:t>
                    </m:r>
                    <m:ctrlPr>
                      <w:rPr>
                        <w:rFonts w:ascii="Cambria Math" w:hAnsi="Cambria Math"/>
                      </w:rPr>
                    </m:ctrlPr>
                  </m:e>
                  <m:sub>
                    <m:r>
                      <m:rPr/>
                      <w:rPr>
                        <w:rFonts w:ascii="Cambria Math" w:hAnsi="Cambria Math"/>
                      </w:rPr>
                      <m:t>u</m:t>
                    </m:r>
                    <m:ctrlPr>
                      <w:rPr>
                        <w:rFonts w:ascii="Cambria Math" w:hAnsi="Cambria Math"/>
                      </w:rPr>
                    </m:ctrlPr>
                  </m:sub>
                </m:sSub>
              </m:oMath>
            </m:oMathPara>
          </w:p>
        </w:tc>
        <w:tc>
          <w:tcPr>
            <w:tcW w:w="1497" w:type="dxa"/>
            <w:vAlign w:val="center"/>
          </w:tcPr>
          <w:p>
            <w:pPr>
              <w:pStyle w:val="59"/>
              <w:rPr>
                <w:szCs w:val="24"/>
              </w:rPr>
            </w:pPr>
            <w:r>
              <w:rPr>
                <w:rFonts w:hint="eastAsia"/>
                <w:szCs w:val="24"/>
              </w:rPr>
              <w:t>（</w:t>
            </w:r>
            <w:r>
              <w:rPr>
                <w:szCs w:val="24"/>
              </w:rPr>
              <w:t>4.</w:t>
            </w:r>
            <w:r>
              <w:rPr>
                <w:rFonts w:hint="eastAsia"/>
                <w:szCs w:val="24"/>
              </w:rPr>
              <w:t>3</w:t>
            </w:r>
            <w:r>
              <w:rPr>
                <w:szCs w:val="24"/>
              </w:rPr>
              <w:t>.3-3</w:t>
            </w:r>
            <w:r>
              <w:rPr>
                <w:rFonts w:hint="eastAsia"/>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6799" w:type="dxa"/>
            <w:vAlign w:val="center"/>
          </w:tcPr>
          <w:p>
            <w:pPr>
              <w:ind w:firstLine="0" w:firstLineChars="0"/>
              <w:jc w:val="center"/>
              <w:rPr>
                <w:sz w:val="21"/>
                <w:szCs w:val="21"/>
              </w:rPr>
            </w:pPr>
            <m:oMathPara>
              <m:oMath>
                <m:sSub>
                  <m:sSubPr>
                    <m:ctrlPr>
                      <w:rPr>
                        <w:rFonts w:ascii="Cambria Math" w:hAnsi="Cambria Math"/>
                        <w:sz w:val="21"/>
                        <w:szCs w:val="21"/>
                      </w:rPr>
                    </m:ctrlPr>
                  </m:sSubPr>
                  <m:e>
                    <m:r>
                      <m:rPr/>
                      <w:rPr>
                        <w:rFonts w:ascii="Cambria Math" w:hAnsi="Cambria Math"/>
                        <w:sz w:val="21"/>
                        <w:szCs w:val="21"/>
                      </w:rPr>
                      <m:t>R</m:t>
                    </m:r>
                    <m:ctrlPr>
                      <w:rPr>
                        <w:rFonts w:ascii="Cambria Math" w:hAnsi="Cambria Math"/>
                        <w:sz w:val="21"/>
                        <w:szCs w:val="21"/>
                      </w:rPr>
                    </m:ctrlPr>
                  </m:e>
                  <m:sub>
                    <m:r>
                      <m:rPr>
                        <m:sty m:val="p"/>
                      </m:rPr>
                      <w:rPr>
                        <w:rFonts w:ascii="Cambria Math" w:hAnsi="Cambria Math"/>
                        <w:sz w:val="21"/>
                        <w:szCs w:val="21"/>
                      </w:rPr>
                      <m:t>2</m:t>
                    </m:r>
                    <m:ctrlPr>
                      <w:rPr>
                        <w:rFonts w:ascii="Cambria Math" w:hAnsi="Cambria Math"/>
                        <w:sz w:val="21"/>
                        <w:szCs w:val="21"/>
                      </w:rPr>
                    </m:ctrlPr>
                  </m:sub>
                </m:sSub>
                <m:r>
                  <m:rPr>
                    <m:sty m:val="p"/>
                  </m:rPr>
                  <w:rPr>
                    <w:rFonts w:ascii="Cambria Math" w:hAnsi="Cambria Math"/>
                    <w:sz w:val="21"/>
                    <w:szCs w:val="21"/>
                  </w:rPr>
                  <m:t>=</m:t>
                </m:r>
                <m:sSub>
                  <m:sSubPr>
                    <m:ctrlPr>
                      <w:rPr>
                        <w:rFonts w:ascii="Cambria Math" w:hAnsi="Cambria Math"/>
                        <w:sz w:val="21"/>
                        <w:szCs w:val="21"/>
                      </w:rPr>
                    </m:ctrlPr>
                  </m:sSubPr>
                  <m:e>
                    <m:r>
                      <m:rPr/>
                      <w:rPr>
                        <w:rFonts w:ascii="Cambria Math" w:hAnsi="Cambria Math"/>
                        <w:sz w:val="21"/>
                        <w:szCs w:val="21"/>
                      </w:rPr>
                      <m:t>A</m:t>
                    </m:r>
                    <m:ctrlPr>
                      <w:rPr>
                        <w:rFonts w:ascii="Cambria Math" w:hAnsi="Cambria Math"/>
                        <w:sz w:val="21"/>
                        <w:szCs w:val="21"/>
                      </w:rPr>
                    </m:ctrlPr>
                  </m:e>
                  <m:sub>
                    <m:r>
                      <m:rPr/>
                      <w:rPr>
                        <w:rFonts w:ascii="Cambria Math" w:hAnsi="Cambria Math"/>
                        <w:sz w:val="21"/>
                        <w:szCs w:val="21"/>
                      </w:rPr>
                      <m:t>2</m:t>
                    </m:r>
                    <m:ctrlPr>
                      <w:rPr>
                        <w:rFonts w:ascii="Cambria Math" w:hAnsi="Cambria Math"/>
                        <w:sz w:val="21"/>
                        <w:szCs w:val="21"/>
                      </w:rPr>
                    </m:ctrlPr>
                  </m:sub>
                </m:sSub>
                <m:sSub>
                  <m:sSubPr>
                    <m:ctrlPr>
                      <w:rPr>
                        <w:rFonts w:ascii="Cambria Math" w:hAnsi="Cambria Math"/>
                        <w:sz w:val="21"/>
                        <w:szCs w:val="21"/>
                      </w:rPr>
                    </m:ctrlPr>
                  </m:sSubPr>
                  <m:e>
                    <m:r>
                      <m:rPr/>
                      <w:rPr>
                        <w:rFonts w:ascii="Cambria Math" w:hAnsi="Cambria Math"/>
                        <w:sz w:val="21"/>
                        <w:szCs w:val="21"/>
                      </w:rPr>
                      <m:t>f</m:t>
                    </m:r>
                    <m:ctrlPr>
                      <w:rPr>
                        <w:rFonts w:ascii="Cambria Math" w:hAnsi="Cambria Math"/>
                        <w:sz w:val="21"/>
                        <w:szCs w:val="21"/>
                      </w:rPr>
                    </m:ctrlPr>
                  </m:e>
                  <m:sub>
                    <m:r>
                      <m:rPr/>
                      <w:rPr>
                        <w:rFonts w:ascii="Cambria Math" w:hAnsi="Cambria Math"/>
                        <w:sz w:val="21"/>
                        <w:szCs w:val="21"/>
                      </w:rPr>
                      <m:t>u</m:t>
                    </m:r>
                    <m:ctrlPr>
                      <w:rPr>
                        <w:rFonts w:ascii="Cambria Math" w:hAnsi="Cambria Math"/>
                        <w:sz w:val="21"/>
                        <w:szCs w:val="21"/>
                      </w:rPr>
                    </m:ctrlPr>
                  </m:sub>
                </m:sSub>
              </m:oMath>
            </m:oMathPara>
          </w:p>
        </w:tc>
        <w:tc>
          <w:tcPr>
            <w:tcW w:w="1497" w:type="dxa"/>
            <w:vAlign w:val="center"/>
          </w:tcPr>
          <w:p>
            <w:pPr>
              <w:pStyle w:val="59"/>
              <w:rPr>
                <w:szCs w:val="24"/>
              </w:rPr>
            </w:pPr>
            <w:r>
              <w:rPr>
                <w:rFonts w:hint="eastAsia"/>
                <w:szCs w:val="24"/>
              </w:rPr>
              <w:t>（</w:t>
            </w:r>
            <w:r>
              <w:rPr>
                <w:szCs w:val="24"/>
              </w:rPr>
              <w:t>4.</w:t>
            </w:r>
            <w:r>
              <w:rPr>
                <w:rFonts w:hint="eastAsia"/>
                <w:szCs w:val="24"/>
              </w:rPr>
              <w:t>3</w:t>
            </w:r>
            <w:r>
              <w:rPr>
                <w:szCs w:val="24"/>
              </w:rPr>
              <w:t>.3-4</w:t>
            </w:r>
            <w:r>
              <w:rPr>
                <w:rFonts w:hint="eastAsia"/>
                <w:szCs w:val="24"/>
              </w:rPr>
              <w:t>）</w:t>
            </w:r>
          </w:p>
        </w:tc>
      </w:tr>
    </w:tbl>
    <w:p>
      <w:pPr>
        <w:ind w:firstLine="0" w:firstLineChars="0"/>
      </w:pPr>
      <w:r>
        <w:rPr>
          <w:rFonts w:hint="eastAsia"/>
        </w:rPr>
        <w:t>式中：</w:t>
      </w:r>
    </w:p>
    <w:p>
      <w:pPr>
        <w:ind w:firstLine="480"/>
      </w:pPr>
      <w:r>
        <w:rPr>
          <w:position w:val="-10"/>
        </w:rPr>
        <w:object>
          <v:shape id="_x0000_i1044" o:spt="75" type="#_x0000_t75" style="height:17pt;width:12.25pt;" o:ole="t" filled="f" o:preferrelative="t" stroked="f" coordsize="21600,21600">
            <v:path/>
            <v:fill on="f" focussize="0,0"/>
            <v:stroke on="f" joinstyle="miter"/>
            <v:imagedata r:id="rId59" o:title=""/>
            <o:lock v:ext="edit" aspectratio="t"/>
            <w10:wrap type="none"/>
            <w10:anchorlock/>
          </v:shape>
          <o:OLEObject Type="Embed" ProgID="Equation.DSMT4" ShapeID="_x0000_i1044" DrawAspect="Content" ObjectID="_1468075744" r:id="rId58">
            <o:LockedField>false</o:LockedField>
          </o:OLEObject>
        </w:object>
      </w:r>
      <w:r>
        <w:rPr>
          <w:rFonts w:cs="Times New Roman"/>
          <w:sz w:val="21"/>
        </w:rPr>
        <w:t>——</w:t>
      </w:r>
      <w:r>
        <w:rPr>
          <w:rFonts w:asciiTheme="minorEastAsia" w:hAnsiTheme="minorEastAsia"/>
        </w:rPr>
        <w:t>—</w:t>
      </w:r>
      <w:r>
        <w:rPr>
          <w:rFonts w:hint="eastAsia"/>
        </w:rPr>
        <w:t>井体自重标准值（包括外加助沉重量的标准值）</w:t>
      </w:r>
      <w:r>
        <w:rPr>
          <w:rFonts w:hint="eastAsia"/>
          <w:lang w:bidi="en-US"/>
        </w:rPr>
        <w:t>（</w:t>
      </w:r>
      <w:r>
        <w:rPr>
          <w:lang w:bidi="en-US"/>
        </w:rPr>
        <w:t>kN</w:t>
      </w:r>
      <w:r>
        <w:rPr>
          <w:rFonts w:hint="eastAsia"/>
          <w:lang w:bidi="en-US"/>
        </w:rPr>
        <w:t>）；</w:t>
      </w:r>
      <w:r>
        <w:rPr>
          <w:lang w:bidi="en-US"/>
        </w:rPr>
        <w:tab/>
      </w:r>
    </w:p>
    <w:p>
      <w:pPr>
        <w:ind w:firstLine="480"/>
        <w:rPr>
          <w:lang w:bidi="en-US"/>
        </w:rPr>
      </w:pPr>
      <w:r>
        <w:rPr>
          <w:position w:val="-10"/>
        </w:rPr>
        <w:object>
          <v:shape id="_x0000_i1045" o:spt="75" type="#_x0000_t75" style="height:17pt;width:14.25pt;" o:ole="t" filled="f" o:preferrelative="t" stroked="f" coordsize="21600,21600">
            <v:path/>
            <v:fill on="f" focussize="0,0"/>
            <v:stroke on="f" joinstyle="miter"/>
            <v:imagedata r:id="rId61" o:title=""/>
            <o:lock v:ext="edit" aspectratio="t"/>
            <w10:wrap type="none"/>
            <w10:anchorlock/>
          </v:shape>
          <o:OLEObject Type="Embed" ProgID="Equation.DSMT4" ShapeID="_x0000_i1045" DrawAspect="Content" ObjectID="_1468075745" r:id="rId60">
            <o:LockedField>false</o:LockedField>
          </o:OLEObject>
        </w:object>
      </w:r>
      <w:r>
        <w:rPr>
          <w:rFonts w:cs="Times New Roman"/>
          <w:sz w:val="21"/>
        </w:rPr>
        <w:t>——</w:t>
      </w:r>
      <w:r>
        <w:rPr>
          <w:rFonts w:hint="eastAsia"/>
        </w:rPr>
        <w:t>下沉过程中沉井浮力标准值</w:t>
      </w:r>
      <w:r>
        <w:rPr>
          <w:rFonts w:hint="eastAsia"/>
          <w:lang w:bidi="en-US"/>
        </w:rPr>
        <w:t>（</w:t>
      </w:r>
      <w:r>
        <w:rPr>
          <w:lang w:bidi="en-US"/>
        </w:rPr>
        <w:t>kN</w:t>
      </w:r>
      <w:r>
        <w:rPr>
          <w:rFonts w:hint="eastAsia"/>
          <w:lang w:bidi="en-US"/>
        </w:rPr>
        <w:t>）；</w:t>
      </w:r>
    </w:p>
    <w:p>
      <w:pPr>
        <w:ind w:firstLine="480"/>
      </w:pPr>
      <m:oMath>
        <m:sSub>
          <m:sSubPr>
            <m:ctrlPr>
              <w:rPr>
                <w:rFonts w:ascii="Cambria Math" w:hAnsi="Cambria Math"/>
                <w:i/>
              </w:rPr>
            </m:ctrlPr>
          </m:sSubPr>
          <m:e>
            <m:r>
              <m:rPr/>
              <w:rPr>
                <w:rFonts w:ascii="Cambria Math" w:hAnsi="Cambria Math"/>
              </w:rPr>
              <m:t>γ</m:t>
            </m:r>
            <m:ctrlPr>
              <w:rPr>
                <w:rFonts w:ascii="Cambria Math" w:hAnsi="Cambria Math"/>
                <w:i/>
              </w:rPr>
            </m:ctrlPr>
          </m:e>
          <m:sub>
            <m:r>
              <m:rPr>
                <m:sty m:val="p"/>
              </m:rPr>
              <w:rPr>
                <w:rFonts w:ascii="Cambria Math" w:hAnsi="Cambria Math"/>
              </w:rPr>
              <m:t>w</m:t>
            </m:r>
            <m:ctrlPr>
              <w:rPr>
                <w:rFonts w:ascii="Cambria Math" w:hAnsi="Cambria Math"/>
                <w:i/>
              </w:rPr>
            </m:ctrlPr>
          </m:sub>
        </m:sSub>
      </m:oMath>
      <w:r>
        <w:rPr>
          <w:rFonts w:cs="Times New Roman"/>
          <w:sz w:val="21"/>
        </w:rPr>
        <w:t>——</w:t>
      </w:r>
      <w:r>
        <w:rPr>
          <w:rFonts w:hint="eastAsia"/>
        </w:rPr>
        <w:t>水</w:t>
      </w:r>
      <w:r>
        <w:t>的</w:t>
      </w:r>
      <w:r>
        <w:rPr>
          <w:rFonts w:hint="eastAsia"/>
        </w:rPr>
        <w:t>重度（kN/m</w:t>
      </w:r>
      <w:r>
        <w:rPr>
          <w:vertAlign w:val="superscript"/>
        </w:rPr>
        <w:t>3</w:t>
      </w:r>
      <w:r>
        <w:rPr>
          <w:rFonts w:hint="eastAsia"/>
        </w:rPr>
        <w:t>）,取9.81kN/m</w:t>
      </w:r>
      <w:r>
        <w:rPr>
          <w:vertAlign w:val="superscript"/>
        </w:rPr>
        <w:t>3</w:t>
      </w:r>
      <w:r>
        <w:rPr>
          <w:rFonts w:hint="eastAsia"/>
        </w:rPr>
        <w:t>；</w:t>
      </w:r>
    </w:p>
    <w:p>
      <w:pPr>
        <w:ind w:firstLine="480"/>
      </w:pPr>
      <m:oMath>
        <m:r>
          <m:rPr/>
          <w:rPr>
            <w:rFonts w:hint="eastAsia" w:ascii="Cambria Math" w:hAnsi="Cambria Math"/>
          </w:rPr>
          <m:t>V</m:t>
        </m:r>
      </m:oMath>
      <w:r>
        <w:rPr>
          <w:rFonts w:cs="Times New Roman"/>
          <w:sz w:val="21"/>
        </w:rPr>
        <w:t>——</w:t>
      </w:r>
      <w:r>
        <w:rPr>
          <w:rFonts w:hint="eastAsia"/>
        </w:rPr>
        <w:t>排水体积（m</w:t>
      </w:r>
      <w:r>
        <w:rPr>
          <w:vertAlign w:val="superscript"/>
        </w:rPr>
        <w:t>3</w:t>
      </w:r>
      <w:r>
        <w:rPr>
          <w:rFonts w:hint="eastAsia"/>
        </w:rPr>
        <w:t>）；</w:t>
      </w:r>
    </w:p>
    <w:p>
      <w:pPr>
        <w:ind w:firstLine="480"/>
      </w:pPr>
      <w:r>
        <w:rPr>
          <w:position w:val="-10"/>
        </w:rPr>
        <w:object>
          <v:shape id="_x0000_i1046" o:spt="75" type="#_x0000_t75" style="height:17pt;width:13.6pt;" o:ole="t" filled="f" o:preferrelative="t" stroked="f" coordsize="21600,21600">
            <v:path/>
            <v:fill on="f" focussize="0,0"/>
            <v:stroke on="f" joinstyle="miter"/>
            <v:imagedata r:id="rId63" o:title=""/>
            <o:lock v:ext="edit" aspectratio="t"/>
            <w10:wrap type="none"/>
            <w10:anchorlock/>
          </v:shape>
          <o:OLEObject Type="Embed" ProgID="Equation.DSMT4" ShapeID="_x0000_i1046" DrawAspect="Content" ObjectID="_1468075746" r:id="rId62">
            <o:LockedField>false</o:LockedField>
          </o:OLEObject>
        </w:object>
      </w:r>
      <w:r>
        <w:rPr>
          <w:rFonts w:cs="Times New Roman"/>
          <w:sz w:val="21"/>
        </w:rPr>
        <w:t>——</w:t>
      </w:r>
      <w:r>
        <w:rPr>
          <w:rFonts w:hint="eastAsia"/>
        </w:rPr>
        <w:t>刃脚端部极限承载力（</w:t>
      </w:r>
      <w:r>
        <w:t>kN</w:t>
      </w:r>
      <w:r>
        <w:rPr>
          <w:rFonts w:hint="eastAsia"/>
        </w:rPr>
        <w:t>）；</w:t>
      </w:r>
    </w:p>
    <w:p>
      <w:pPr>
        <w:ind w:firstLine="480"/>
      </w:pPr>
      <m:oMath>
        <m:sSub>
          <m:sSubPr>
            <m:ctrlPr>
              <w:rPr>
                <w:rFonts w:ascii="Cambria Math" w:hAnsi="Cambria Math"/>
                <w:i/>
              </w:rPr>
            </m:ctrlPr>
          </m:sSubPr>
          <m:e>
            <m:r>
              <m:rPr/>
              <w:rPr>
                <w:rFonts w:ascii="Cambria Math"/>
              </w:rPr>
              <m:t>f</m:t>
            </m:r>
            <m:ctrlPr>
              <w:rPr>
                <w:rFonts w:ascii="Cambria Math" w:hAnsi="Cambria Math"/>
                <w:i/>
              </w:rPr>
            </m:ctrlPr>
          </m:e>
          <m:sub>
            <m:r>
              <m:rPr/>
              <w:rPr>
                <w:rFonts w:ascii="Cambria Math"/>
              </w:rPr>
              <m:t>u</m:t>
            </m:r>
            <m:ctrlPr>
              <w:rPr>
                <w:rFonts w:ascii="Cambria Math" w:hAnsi="Cambria Math"/>
                <w:i/>
              </w:rPr>
            </m:ctrlPr>
          </m:sub>
        </m:sSub>
      </m:oMath>
      <w:r>
        <w:rPr>
          <w:rFonts w:cs="Times New Roman"/>
          <w:sz w:val="21"/>
        </w:rPr>
        <w:t>——</w:t>
      </w:r>
      <w:r>
        <w:rPr>
          <w:rFonts w:hint="eastAsia"/>
        </w:rPr>
        <w:t>地基承载力极限值</w:t>
      </w:r>
      <w:r>
        <w:rPr>
          <w:rFonts w:hint="eastAsia"/>
          <w:lang w:bidi="en-US"/>
        </w:rPr>
        <w:t>（</w:t>
      </w:r>
      <w:r>
        <w:rPr>
          <w:lang w:bidi="en-US"/>
        </w:rPr>
        <w:t>kPa</w:t>
      </w:r>
      <w:r>
        <w:rPr>
          <w:rFonts w:hint="eastAsia"/>
          <w:lang w:bidi="en-US"/>
        </w:rPr>
        <w:t>）；</w:t>
      </w:r>
    </w:p>
    <w:p>
      <w:pPr>
        <w:ind w:firstLine="480"/>
      </w:pPr>
      <w:r>
        <w:rPr>
          <w:position w:val="-10"/>
        </w:rPr>
        <w:object>
          <v:shape id="_x0000_i1047" o:spt="75" type="#_x0000_t75" style="height:17pt;width:13.6pt;" o:ole="t" filled="f" o:preferrelative="t" stroked="f" coordsize="21600,21600">
            <v:path/>
            <v:fill on="f" focussize="0,0"/>
            <v:stroke on="f" joinstyle="miter"/>
            <v:imagedata r:id="rId65" o:title=""/>
            <o:lock v:ext="edit" aspectratio="t"/>
            <w10:wrap type="none"/>
            <w10:anchorlock/>
          </v:shape>
          <o:OLEObject Type="Embed" ProgID="Equation.DSMT4" ShapeID="_x0000_i1047" DrawAspect="Content" ObjectID="_1468075747" r:id="rId64">
            <o:LockedField>false</o:LockedField>
          </o:OLEObject>
        </w:object>
      </w:r>
      <w:r>
        <w:rPr>
          <w:rFonts w:cs="Times New Roman"/>
          <w:sz w:val="21"/>
        </w:rPr>
        <w:t>——</w:t>
      </w:r>
      <w:r>
        <w:rPr>
          <w:rFonts w:hint="eastAsia"/>
        </w:rPr>
        <w:t>隔墙端部极限承载力（</w:t>
      </w:r>
      <w:r>
        <w:t>kN</w:t>
      </w:r>
      <w:r>
        <w:rPr>
          <w:rFonts w:hint="eastAsia"/>
        </w:rPr>
        <w:t>）；</w:t>
      </w:r>
    </w:p>
    <w:p>
      <w:pPr>
        <w:ind w:firstLine="480"/>
      </w:pPr>
      <w:r>
        <w:rPr>
          <w:position w:val="-10"/>
        </w:rPr>
        <w:object>
          <v:shape id="_x0000_i1048" o:spt="75" type="#_x0000_t75" style="height:17pt;width:13.6pt;" o:ole="t" filled="f" o:preferrelative="t" stroked="f" coordsize="21600,21600">
            <v:path/>
            <v:fill on="f" focussize="0,0"/>
            <v:stroke on="f" joinstyle="miter"/>
            <v:imagedata r:id="rId67" o:title=""/>
            <o:lock v:ext="edit" aspectratio="t"/>
            <w10:wrap type="none"/>
            <w10:anchorlock/>
          </v:shape>
          <o:OLEObject Type="Embed" ProgID="Equation.DSMT4" ShapeID="_x0000_i1048" DrawAspect="Content" ObjectID="_1468075748" r:id="rId66">
            <o:LockedField>false</o:LockedField>
          </o:OLEObject>
        </w:object>
      </w:r>
      <w:r>
        <w:rPr>
          <w:rFonts w:cs="Times New Roman"/>
          <w:sz w:val="21"/>
        </w:rPr>
        <w:t>——</w:t>
      </w:r>
      <w:r>
        <w:rPr>
          <w:rFonts w:hint="eastAsia"/>
        </w:rPr>
        <w:t>刃脚支承水平</w:t>
      </w:r>
      <w:r>
        <w:t>投影</w:t>
      </w:r>
      <w:r>
        <w:rPr>
          <w:rFonts w:hint="eastAsia"/>
        </w:rPr>
        <w:t>面积（m</w:t>
      </w:r>
      <w:r>
        <w:rPr>
          <w:rFonts w:hint="eastAsia"/>
          <w:vertAlign w:val="superscript"/>
        </w:rPr>
        <w:t>2</w:t>
      </w:r>
      <w:r>
        <w:rPr>
          <w:rFonts w:hint="eastAsia"/>
        </w:rPr>
        <w:t>）；</w:t>
      </w:r>
    </w:p>
    <w:p>
      <w:pPr>
        <w:ind w:firstLine="480"/>
      </w:pPr>
      <w:r>
        <w:rPr>
          <w:position w:val="-10"/>
        </w:rPr>
        <w:object>
          <v:shape id="_x0000_i1049" o:spt="75" type="#_x0000_t75" style="height:17pt;width:13.6pt;" o:ole="t" filled="f" o:preferrelative="t" stroked="f" coordsize="21600,21600">
            <v:path/>
            <v:fill on="f" focussize="0,0"/>
            <v:stroke on="f" joinstyle="miter"/>
            <v:imagedata r:id="rId69" o:title=""/>
            <o:lock v:ext="edit" aspectratio="t"/>
            <w10:wrap type="none"/>
            <w10:anchorlock/>
          </v:shape>
          <o:OLEObject Type="Embed" ProgID="Equation.DSMT4" ShapeID="_x0000_i1049" DrawAspect="Content" ObjectID="_1468075749" r:id="rId68">
            <o:LockedField>false</o:LockedField>
          </o:OLEObject>
        </w:object>
      </w:r>
      <w:r>
        <w:rPr>
          <w:rFonts w:cs="Times New Roman"/>
          <w:sz w:val="21"/>
        </w:rPr>
        <w:t>——</w:t>
      </w:r>
      <w:r>
        <w:rPr>
          <w:rFonts w:hint="eastAsia"/>
        </w:rPr>
        <w:t>隔墙支承水平</w:t>
      </w:r>
      <w:r>
        <w:t>投影</w:t>
      </w:r>
      <w:r>
        <w:rPr>
          <w:rFonts w:hint="eastAsia"/>
        </w:rPr>
        <w:t>面积（m</w:t>
      </w:r>
      <w:r>
        <w:rPr>
          <w:rFonts w:hint="eastAsia"/>
          <w:vertAlign w:val="superscript"/>
        </w:rPr>
        <w:t>2</w:t>
      </w:r>
      <w:r>
        <w:rPr>
          <w:rFonts w:hint="eastAsia"/>
        </w:rPr>
        <w:t>）。</w:t>
      </w:r>
    </w:p>
    <w:p>
      <w:pPr>
        <w:pStyle w:val="4"/>
      </w:pPr>
      <w:bookmarkStart w:id="73" w:name="_Toc71191380"/>
      <w:bookmarkStart w:id="74" w:name="_Toc77763469"/>
      <w:bookmarkStart w:id="75" w:name="_Toc104109419"/>
      <w:r>
        <w:rPr>
          <w:rFonts w:hint="eastAsia"/>
        </w:rPr>
        <w:t>沉井接高稳定性系数可按下列公式计算：</w:t>
      </w:r>
      <w:bookmarkEnd w:id="73"/>
      <w:bookmarkEnd w:id="74"/>
      <w:bookmarkEnd w:id="75"/>
    </w:p>
    <w:tbl>
      <w:tblPr>
        <w:tblStyle w:val="2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54"/>
        <w:gridCol w:w="14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54" w:type="dxa"/>
          </w:tcPr>
          <w:p>
            <w:pPr>
              <w:pStyle w:val="59"/>
              <w:rPr>
                <w:szCs w:val="24"/>
              </w:rPr>
            </w:pPr>
            <w:r>
              <w:rPr>
                <w:position w:val="-28"/>
              </w:rPr>
              <w:object>
                <v:shape id="_x0000_i1050" o:spt="75" type="#_x0000_t75" style="height:31.9pt;width:67.9pt;" o:ole="t" filled="f" o:preferrelative="t" stroked="f" coordsize="21600,21600">
                  <v:path/>
                  <v:fill on="f" focussize="0,0"/>
                  <v:stroke on="f" joinstyle="miter"/>
                  <v:imagedata r:id="rId71" o:title=""/>
                  <o:lock v:ext="edit" aspectratio="t"/>
                  <w10:wrap type="none"/>
                  <w10:anchorlock/>
                </v:shape>
                <o:OLEObject Type="Embed" ProgID="Equation.DSMT4" ShapeID="_x0000_i1050" DrawAspect="Content" ObjectID="_1468075750" r:id="rId70">
                  <o:LockedField>false</o:LockedField>
                </o:OLEObject>
              </w:object>
            </w:r>
          </w:p>
        </w:tc>
        <w:tc>
          <w:tcPr>
            <w:tcW w:w="1468" w:type="dxa"/>
            <w:vAlign w:val="center"/>
          </w:tcPr>
          <w:p>
            <w:pPr>
              <w:pStyle w:val="59"/>
              <w:rPr>
                <w:szCs w:val="24"/>
              </w:rPr>
            </w:pPr>
            <w:r>
              <w:rPr>
                <w:rFonts w:hint="eastAsia"/>
                <w:szCs w:val="24"/>
              </w:rPr>
              <w:t>（</w:t>
            </w:r>
            <w:r>
              <w:rPr>
                <w:szCs w:val="24"/>
              </w:rPr>
              <w:t>4.</w:t>
            </w:r>
            <w:r>
              <w:rPr>
                <w:rFonts w:hint="eastAsia"/>
                <w:szCs w:val="24"/>
              </w:rPr>
              <w:t>3</w:t>
            </w:r>
            <w:r>
              <w:rPr>
                <w:szCs w:val="24"/>
              </w:rPr>
              <w:t>.4</w:t>
            </w:r>
            <w:r>
              <w:rPr>
                <w:rFonts w:hint="eastAsia"/>
                <w:szCs w:val="24"/>
              </w:rPr>
              <w:t>）</w:t>
            </w:r>
          </w:p>
        </w:tc>
      </w:tr>
    </w:tbl>
    <w:p>
      <w:pPr>
        <w:ind w:firstLine="0" w:firstLineChars="0"/>
      </w:pPr>
      <w:r>
        <w:rPr>
          <w:rFonts w:hint="eastAsia"/>
        </w:rPr>
        <w:t>式中：</w:t>
      </w:r>
    </w:p>
    <w:p>
      <w:pPr>
        <w:ind w:firstLine="480"/>
      </w:pPr>
      <w:r>
        <w:rPr>
          <w:position w:val="-10"/>
        </w:rPr>
        <w:object>
          <v:shape id="_x0000_i1051" o:spt="75" type="#_x0000_t75" style="height:17pt;width:12.25pt;" o:ole="t" filled="f" o:preferrelative="t" stroked="f" coordsize="21600,21600">
            <v:path/>
            <v:fill on="f" focussize="0,0"/>
            <v:stroke on="f" joinstyle="miter"/>
            <v:imagedata r:id="rId73" o:title=""/>
            <o:lock v:ext="edit" aspectratio="t"/>
            <w10:wrap type="none"/>
            <w10:anchorlock/>
          </v:shape>
          <o:OLEObject Type="Embed" ProgID="Equation.DSMT4" ShapeID="_x0000_i1051" DrawAspect="Content" ObjectID="_1468075751" r:id="rId72">
            <o:LockedField>false</o:LockedField>
          </o:OLEObject>
        </w:object>
      </w:r>
      <w:r>
        <w:rPr>
          <w:rFonts w:cs="Times New Roman"/>
          <w:sz w:val="21"/>
        </w:rPr>
        <w:t>——</w:t>
      </w:r>
      <w:r>
        <w:rPr>
          <w:rFonts w:hint="eastAsia"/>
        </w:rPr>
        <w:t>稳定系数，一般取值不宜小于1</w:t>
      </w:r>
      <w:r>
        <w:t>.2</w:t>
      </w:r>
      <w:r>
        <w:rPr>
          <w:rFonts w:hint="eastAsia"/>
        </w:rPr>
        <w:t>；</w:t>
      </w:r>
    </w:p>
    <w:p>
      <w:pPr>
        <w:ind w:firstLine="480"/>
      </w:pPr>
      <w:r>
        <w:rPr>
          <w:position w:val="-10"/>
        </w:rPr>
        <w:object>
          <v:shape id="_x0000_i1052" o:spt="75" type="#_x0000_t75" style="height:17pt;width:17pt;" o:ole="t" filled="f" o:preferrelative="t" stroked="f" coordsize="21600,21600">
            <v:path/>
            <v:fill on="f" focussize="0,0"/>
            <v:stroke on="f" joinstyle="miter"/>
            <v:imagedata r:id="rId75" o:title=""/>
            <o:lock v:ext="edit" aspectratio="t"/>
            <w10:wrap type="none"/>
            <w10:anchorlock/>
          </v:shape>
          <o:OLEObject Type="Embed" ProgID="Equation.DSMT4" ShapeID="_x0000_i1052" DrawAspect="Content" ObjectID="_1468075752" r:id="rId74">
            <o:LockedField>false</o:LockedField>
          </o:OLEObject>
        </w:object>
      </w:r>
      <w:r>
        <w:rPr>
          <w:rFonts w:cs="Times New Roman"/>
          <w:sz w:val="21"/>
        </w:rPr>
        <w:t>——</w:t>
      </w:r>
      <w:r>
        <w:rPr>
          <w:rFonts w:hint="eastAsia"/>
        </w:rPr>
        <w:t>接高后的沉井重量（</w:t>
      </w:r>
      <w:r>
        <w:t>kN</w:t>
      </w:r>
      <w:r>
        <w:rPr>
          <w:rFonts w:hint="eastAsia"/>
        </w:rPr>
        <w:t>）。</w:t>
      </w:r>
    </w:p>
    <w:p>
      <w:pPr>
        <w:pStyle w:val="4"/>
        <w:rPr>
          <w:b/>
        </w:rPr>
      </w:pPr>
      <w:bookmarkStart w:id="76" w:name="_Toc71191382"/>
      <w:bookmarkStart w:id="77" w:name="_Toc77763470"/>
      <w:bookmarkStart w:id="78" w:name="_Toc104109420"/>
      <w:r>
        <w:rPr>
          <w:rFonts w:hint="eastAsia"/>
        </w:rPr>
        <w:t>沉井接高期间下沉量应结合实际支撑状态进行计算</w:t>
      </w:r>
      <w:bookmarkEnd w:id="76"/>
      <w:bookmarkEnd w:id="77"/>
      <w:bookmarkEnd w:id="78"/>
      <w:r>
        <w:rPr>
          <w:rFonts w:hint="eastAsia"/>
        </w:rPr>
        <w:t>，复核沉井干舷高度满足相关要求。</w:t>
      </w:r>
    </w:p>
    <w:p>
      <w:pPr>
        <w:pStyle w:val="3"/>
        <w:spacing w:before="312"/>
      </w:pPr>
      <w:bookmarkStart w:id="79" w:name="_Toc112317322"/>
      <w:r>
        <w:rPr>
          <w:rFonts w:hint="eastAsia"/>
        </w:rPr>
        <w:t>沉井结构受力验算</w:t>
      </w:r>
      <w:bookmarkEnd w:id="79"/>
    </w:p>
    <w:p>
      <w:pPr>
        <w:pStyle w:val="4"/>
      </w:pPr>
      <w:bookmarkStart w:id="80" w:name="_Toc77763472"/>
      <w:bookmarkStart w:id="81" w:name="_Toc71191384"/>
      <w:bookmarkStart w:id="82" w:name="_Toc104109422"/>
      <w:r>
        <w:rPr>
          <w:rFonts w:hint="eastAsia"/>
        </w:rPr>
        <w:t>沉井在下沉过程中，应对以下工况下的沉井结构进行验算：</w:t>
      </w:r>
    </w:p>
    <w:p>
      <w:pPr>
        <w:pStyle w:val="5"/>
        <w:ind w:firstLine="480"/>
      </w:pPr>
      <w:r>
        <w:rPr>
          <w:rFonts w:hint="eastAsia"/>
        </w:rPr>
        <w:t>初次下沉；</w:t>
      </w:r>
    </w:p>
    <w:p>
      <w:pPr>
        <w:pStyle w:val="5"/>
        <w:ind w:firstLine="480"/>
      </w:pPr>
      <w:r>
        <w:rPr>
          <w:rFonts w:hint="eastAsia"/>
        </w:rPr>
        <w:t>沉井重量发生突变，如接高；</w:t>
      </w:r>
    </w:p>
    <w:p>
      <w:pPr>
        <w:pStyle w:val="5"/>
        <w:ind w:firstLine="480"/>
      </w:pPr>
      <w:r>
        <w:rPr>
          <w:rFonts w:hint="eastAsia"/>
        </w:rPr>
        <w:t>地质突变或支持状态不均匀；</w:t>
      </w:r>
    </w:p>
    <w:p>
      <w:pPr>
        <w:pStyle w:val="5"/>
        <w:ind w:firstLine="480"/>
      </w:pPr>
      <w:r>
        <w:rPr>
          <w:rFonts w:hint="eastAsia"/>
        </w:rPr>
        <w:t>终沉；</w:t>
      </w:r>
    </w:p>
    <w:p>
      <w:pPr>
        <w:pStyle w:val="5"/>
        <w:ind w:firstLine="480"/>
      </w:pPr>
      <w:r>
        <w:rPr>
          <w:rFonts w:hint="eastAsia"/>
        </w:rPr>
        <w:t>沉井出现突沉、大幅倾斜等异常情况且需要采取特殊措施的情形。</w:t>
      </w:r>
    </w:p>
    <w:p>
      <w:pPr>
        <w:pStyle w:val="4"/>
      </w:pPr>
      <w:r>
        <w:rPr>
          <w:rFonts w:hint="eastAsia"/>
        </w:rPr>
        <w:t>参考现行《公路桥涵地基与基础设计规范》（JTG D63）的简化公式或采用三维有限元对沉井井壁、隔墙、刃脚进行结构验算。</w:t>
      </w:r>
    </w:p>
    <w:p>
      <w:pPr>
        <w:pStyle w:val="4"/>
      </w:pPr>
      <w:r>
        <w:rPr>
          <w:rFonts w:hint="eastAsia"/>
        </w:rPr>
        <w:t>沉井井壁、隔墙验算包括</w:t>
      </w:r>
      <w:r>
        <w:t>竖直方向和水平方向两部分，竖直方向，沉井被四周土体摩阻力嵌固而刃脚下土体被挖空时，应验算</w:t>
      </w:r>
      <w:r>
        <w:rPr>
          <w:rFonts w:hint="eastAsia"/>
        </w:rPr>
        <w:t>井壁、隔墙</w:t>
      </w:r>
      <w:r>
        <w:t>的竖向抗拉强度；</w:t>
      </w:r>
      <w:r>
        <w:rPr>
          <w:rFonts w:hint="eastAsia"/>
        </w:rPr>
        <w:t>水平</w:t>
      </w:r>
      <w:r>
        <w:t>方向</w:t>
      </w:r>
      <w:r>
        <w:rPr>
          <w:rFonts w:hint="eastAsia"/>
        </w:rPr>
        <w:t>，</w:t>
      </w:r>
      <w:r>
        <w:t>考虑刃脚悬臂传来的水平</w:t>
      </w:r>
      <w:r>
        <w:rPr>
          <w:rFonts w:hint="eastAsia"/>
        </w:rPr>
        <w:t>剪力</w:t>
      </w:r>
      <w:r>
        <w:t>，应验算</w:t>
      </w:r>
      <w:r>
        <w:rPr>
          <w:rFonts w:hint="eastAsia"/>
        </w:rPr>
        <w:t>井壁、隔墙</w:t>
      </w:r>
      <w:r>
        <w:t>的</w:t>
      </w:r>
      <w:r>
        <w:rPr>
          <w:rFonts w:hint="eastAsia"/>
        </w:rPr>
        <w:t>水平</w:t>
      </w:r>
      <w:r>
        <w:t>向抗拉</w:t>
      </w:r>
      <w:r>
        <w:rPr>
          <w:rFonts w:hint="eastAsia"/>
        </w:rPr>
        <w:t>抗压</w:t>
      </w:r>
      <w:r>
        <w:t>强度</w:t>
      </w:r>
      <w:r>
        <w:rPr>
          <w:rFonts w:hint="eastAsia"/>
        </w:rPr>
        <w:t>。</w:t>
      </w:r>
    </w:p>
    <w:p>
      <w:pPr>
        <w:pStyle w:val="4"/>
      </w:pPr>
      <w:r>
        <w:rPr>
          <w:rFonts w:hint="eastAsia"/>
        </w:rPr>
        <w:t>沉井</w:t>
      </w:r>
      <w:r>
        <w:t>刃脚可分</w:t>
      </w:r>
      <w:r>
        <w:rPr>
          <w:rFonts w:hint="eastAsia"/>
        </w:rPr>
        <w:t>别</w:t>
      </w:r>
      <w:r>
        <w:t>作为悬臂梁和水平框架验算水平向的弯曲强度</w:t>
      </w:r>
      <w:r>
        <w:rPr>
          <w:rFonts w:hint="eastAsia"/>
        </w:rPr>
        <w:t>。</w:t>
      </w:r>
    </w:p>
    <w:p>
      <w:pPr>
        <w:pStyle w:val="5"/>
        <w:ind w:firstLine="480"/>
      </w:pPr>
      <w:r>
        <w:rPr>
          <w:rFonts w:hint="eastAsia"/>
        </w:rPr>
        <w:t>刃脚</w:t>
      </w:r>
      <w:r>
        <w:t>作为悬臂梁计算，</w:t>
      </w:r>
      <w:r>
        <w:rPr>
          <w:rFonts w:hint="eastAsia"/>
        </w:rPr>
        <w:t>竖向</w:t>
      </w:r>
      <w:r>
        <w:t>向外弯曲，验算刃脚因受井孔内土体的侧向压力而向外弯曲的强度</w:t>
      </w:r>
      <w:r>
        <w:rPr>
          <w:rFonts w:hint="eastAsia"/>
        </w:rPr>
        <w:t>；</w:t>
      </w:r>
      <w:r>
        <w:t>竖向向内弯曲，验算刃脚因受井壁外侧全部水压力和侧</w:t>
      </w:r>
      <w:r>
        <w:rPr>
          <w:rFonts w:hint="eastAsia"/>
        </w:rPr>
        <w:t>土</w:t>
      </w:r>
      <w:r>
        <w:t>压力而向内弯曲时的强度。</w:t>
      </w:r>
    </w:p>
    <w:p>
      <w:pPr>
        <w:pStyle w:val="5"/>
        <w:ind w:firstLine="480"/>
      </w:pPr>
      <w:r>
        <w:rPr>
          <w:rFonts w:hint="eastAsia"/>
        </w:rPr>
        <w:t>刃脚</w:t>
      </w:r>
      <w:r>
        <w:t>作为水</w:t>
      </w:r>
      <w:r>
        <w:rPr>
          <w:rFonts w:hint="eastAsia"/>
        </w:rPr>
        <w:t>平</w:t>
      </w:r>
      <w:r>
        <w:t>框架计算，此时</w:t>
      </w:r>
      <w:r>
        <w:rPr>
          <w:rFonts w:hint="eastAsia"/>
        </w:rPr>
        <w:t>沉井</w:t>
      </w:r>
      <w:r>
        <w:t>下沉到设计标高，刃脚下的土体已被</w:t>
      </w:r>
      <w:r>
        <w:rPr>
          <w:rFonts w:hint="eastAsia"/>
        </w:rPr>
        <w:t>挖空</w:t>
      </w:r>
      <w:r>
        <w:t>，将刃脚作为闭合的水平框架，计算</w:t>
      </w:r>
      <w:r>
        <w:rPr>
          <w:rFonts w:hint="eastAsia"/>
        </w:rPr>
        <w:t>其</w:t>
      </w:r>
      <w:r>
        <w:t>水平方向的抗弯强度。</w:t>
      </w:r>
    </w:p>
    <w:bookmarkEnd w:id="80"/>
    <w:bookmarkEnd w:id="81"/>
    <w:bookmarkEnd w:id="82"/>
    <w:p>
      <w:pPr>
        <w:pStyle w:val="3"/>
        <w:spacing w:before="312"/>
      </w:pPr>
      <w:bookmarkStart w:id="83" w:name="_Toc104109424"/>
      <w:bookmarkStart w:id="84" w:name="_Toc112317323"/>
      <w:bookmarkStart w:id="85" w:name="_Toc71191392"/>
      <w:r>
        <w:t>混凝土</w:t>
      </w:r>
      <w:r>
        <w:rPr>
          <w:rFonts w:hint="eastAsia"/>
        </w:rPr>
        <w:t>浇筑</w:t>
      </w:r>
      <w:r>
        <w:t>计算</w:t>
      </w:r>
      <w:bookmarkEnd w:id="83"/>
      <w:bookmarkEnd w:id="84"/>
    </w:p>
    <w:p>
      <w:pPr>
        <w:pStyle w:val="4"/>
        <w:rPr>
          <w:lang w:bidi="en-US"/>
        </w:rPr>
      </w:pPr>
      <w:bookmarkStart w:id="86" w:name="_Toc77763476"/>
      <w:bookmarkStart w:id="87" w:name="_Toc104109425"/>
      <w:r>
        <w:rPr>
          <w:rFonts w:hint="eastAsia"/>
          <w:lang w:bidi="en-US"/>
        </w:rPr>
        <w:t>沉井隔舱混凝土浇筑过程中，应计算作用于沉井壁板的最大侧压力标准值，按下列两个公式计算，并取最小值。</w:t>
      </w:r>
      <w:bookmarkEnd w:id="86"/>
      <w:bookmarkEnd w:id="87"/>
    </w:p>
    <w:tbl>
      <w:tblPr>
        <w:tblStyle w:val="2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41"/>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6941" w:type="dxa"/>
            <w:vAlign w:val="center"/>
          </w:tcPr>
          <w:p>
            <w:pPr>
              <w:ind w:firstLine="0" w:firstLineChars="0"/>
              <w:jc w:val="center"/>
              <w:rPr>
                <w:sz w:val="21"/>
                <w:szCs w:val="21"/>
                <w:lang w:bidi="en-US"/>
              </w:rPr>
            </w:pPr>
            <w:r>
              <w:rPr>
                <w:position w:val="-12"/>
                <w:sz w:val="21"/>
                <w:szCs w:val="21"/>
              </w:rPr>
              <w:object>
                <v:shape id="_x0000_i1053" o:spt="75" type="#_x0000_t75" style="height:19pt;width:95.75pt;" o:ole="t" filled="f" o:preferrelative="t" stroked="f" coordsize="21600,21600">
                  <v:path/>
                  <v:fill on="f" focussize="0,0"/>
                  <v:stroke on="f" joinstyle="miter"/>
                  <v:imagedata r:id="rId77" o:title=""/>
                  <o:lock v:ext="edit" aspectratio="t"/>
                  <w10:wrap type="none"/>
                  <w10:anchorlock/>
                </v:shape>
                <o:OLEObject Type="Embed" ProgID="Equation.DSMT4" ShapeID="_x0000_i1053" DrawAspect="Content" ObjectID="_1468075753" r:id="rId76">
                  <o:LockedField>false</o:LockedField>
                </o:OLEObject>
              </w:object>
            </w:r>
          </w:p>
        </w:tc>
        <w:tc>
          <w:tcPr>
            <w:tcW w:w="1355" w:type="dxa"/>
            <w:vAlign w:val="center"/>
          </w:tcPr>
          <w:p>
            <w:pPr>
              <w:ind w:firstLine="0" w:firstLineChars="0"/>
              <w:jc w:val="center"/>
              <w:rPr>
                <w:lang w:bidi="en-US"/>
              </w:rPr>
            </w:pPr>
            <w:r>
              <w:rPr>
                <w:rFonts w:hint="eastAsia" w:cs="Times New Roman"/>
                <w:sz w:val="21"/>
                <w:szCs w:val="21"/>
              </w:rPr>
              <w:t>（</w:t>
            </w:r>
            <w:r>
              <w:rPr>
                <w:rFonts w:cs="Times New Roman"/>
                <w:sz w:val="21"/>
                <w:szCs w:val="21"/>
              </w:rPr>
              <w:t>4.5.1-1</w:t>
            </w:r>
            <w:r>
              <w:rPr>
                <w:rFonts w:hint="eastAsia" w:cs="Times New Roman"/>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941" w:type="dxa"/>
            <w:vAlign w:val="center"/>
          </w:tcPr>
          <w:p>
            <w:pPr>
              <w:ind w:firstLine="0" w:firstLineChars="0"/>
              <w:jc w:val="center"/>
              <w:rPr>
                <w:sz w:val="21"/>
                <w:szCs w:val="21"/>
                <w:lang w:bidi="en-US"/>
              </w:rPr>
            </w:pPr>
            <w:r>
              <w:rPr>
                <w:position w:val="-12"/>
                <w:sz w:val="21"/>
                <w:szCs w:val="21"/>
              </w:rPr>
              <w:object>
                <v:shape id="_x0000_i1054" o:spt="75" type="#_x0000_t75" style="height:18.35pt;width:40.1pt;" o:ole="t" filled="f" o:preferrelative="t" stroked="f" coordsize="21600,21600">
                  <v:path/>
                  <v:fill on="f" focussize="0,0"/>
                  <v:stroke on="f" joinstyle="miter"/>
                  <v:imagedata r:id="rId79" o:title=""/>
                  <o:lock v:ext="edit" aspectratio="t"/>
                  <w10:wrap type="none"/>
                  <w10:anchorlock/>
                </v:shape>
                <o:OLEObject Type="Embed" ProgID="Equation.DSMT4" ShapeID="_x0000_i1054" DrawAspect="Content" ObjectID="_1468075754" r:id="rId78">
                  <o:LockedField>false</o:LockedField>
                </o:OLEObject>
              </w:object>
            </w:r>
          </w:p>
        </w:tc>
        <w:tc>
          <w:tcPr>
            <w:tcW w:w="1355" w:type="dxa"/>
            <w:vAlign w:val="center"/>
          </w:tcPr>
          <w:p>
            <w:pPr>
              <w:ind w:firstLine="0" w:firstLineChars="0"/>
              <w:jc w:val="center"/>
              <w:rPr>
                <w:lang w:bidi="en-US"/>
              </w:rPr>
            </w:pPr>
            <w:r>
              <w:rPr>
                <w:rFonts w:hint="eastAsia" w:cs="Times New Roman"/>
                <w:sz w:val="21"/>
                <w:szCs w:val="21"/>
              </w:rPr>
              <w:t>（</w:t>
            </w:r>
            <w:r>
              <w:rPr>
                <w:rFonts w:cs="Times New Roman"/>
                <w:sz w:val="21"/>
                <w:szCs w:val="21"/>
              </w:rPr>
              <w:t>4.5.1-2</w:t>
            </w:r>
            <w:r>
              <w:rPr>
                <w:rFonts w:hint="eastAsia" w:cs="Times New Roman"/>
                <w:sz w:val="21"/>
                <w:szCs w:val="21"/>
              </w:rPr>
              <w:t>）</w:t>
            </w:r>
          </w:p>
        </w:tc>
      </w:tr>
    </w:tbl>
    <w:p>
      <w:pPr>
        <w:ind w:firstLine="0" w:firstLineChars="0"/>
      </w:pPr>
      <w:r>
        <w:t>式中：</w:t>
      </w:r>
    </w:p>
    <w:p>
      <w:pPr>
        <w:ind w:firstLine="480"/>
      </w:pPr>
      <w:r>
        <w:rPr>
          <w:i/>
        </w:rPr>
        <w:t>F</w:t>
      </w:r>
      <w:r>
        <w:rPr>
          <w:rFonts w:cs="Times New Roman"/>
          <w:sz w:val="21"/>
        </w:rPr>
        <w:t>——</w:t>
      </w:r>
      <w:r>
        <w:t>新浇筑混凝土对沉井壁板的侧压力（kN/m</w:t>
      </w:r>
      <w:r>
        <w:rPr>
          <w:vertAlign w:val="superscript"/>
        </w:rPr>
        <w:t>2</w:t>
      </w:r>
      <w:r>
        <w:t>）</w:t>
      </w:r>
      <w:r>
        <w:rPr>
          <w:rFonts w:hint="eastAsia"/>
        </w:rPr>
        <w:t>；</w:t>
      </w:r>
    </w:p>
    <w:p>
      <w:pPr>
        <w:ind w:firstLine="480"/>
      </w:pPr>
      <w:r>
        <w:rPr>
          <w:position w:val="-12"/>
        </w:rPr>
        <w:object>
          <v:shape id="_x0000_i1055" o:spt="75" type="#_x0000_t75" style="height:22.4pt;width:17pt;" o:ole="t" filled="f" o:preferrelative="t" stroked="f" coordsize="21600,21600">
            <v:path/>
            <v:fill on="f" focussize="0,0"/>
            <v:stroke on="f" joinstyle="miter"/>
            <v:imagedata r:id="rId81" o:title=""/>
            <o:lock v:ext="edit" aspectratio="t"/>
            <w10:wrap type="none"/>
            <w10:anchorlock/>
          </v:shape>
          <o:OLEObject Type="Embed" ProgID="Equation.DSMT4" ShapeID="_x0000_i1055" DrawAspect="Content" ObjectID="_1468075755" r:id="rId80">
            <o:LockedField>false</o:LockedField>
          </o:OLEObject>
        </w:object>
      </w:r>
      <w:r>
        <w:rPr>
          <w:rFonts w:cs="Times New Roman"/>
          <w:sz w:val="21"/>
        </w:rPr>
        <w:t>——</w:t>
      </w:r>
      <w:r>
        <w:t>混凝土的重力密度（kN/m</w:t>
      </w:r>
      <w:r>
        <w:rPr>
          <w:vertAlign w:val="superscript"/>
        </w:rPr>
        <w:t>3</w:t>
      </w:r>
      <w:r>
        <w:t>）</w:t>
      </w:r>
      <w:r>
        <w:rPr>
          <w:rFonts w:hint="eastAsia"/>
        </w:rPr>
        <w:t>；</w:t>
      </w:r>
    </w:p>
    <w:p>
      <w:pPr>
        <w:ind w:firstLine="480"/>
      </w:pPr>
      <w:r>
        <w:rPr>
          <w:i/>
        </w:rPr>
        <w:t>v</w:t>
      </w:r>
      <w:r>
        <w:rPr>
          <w:rFonts w:cs="Times New Roman"/>
          <w:sz w:val="21"/>
        </w:rPr>
        <w:t>——</w:t>
      </w:r>
      <w:r>
        <w:t>混凝土浇筑速度（m/h）</w:t>
      </w:r>
      <w:r>
        <w:rPr>
          <w:rFonts w:hint="eastAsia"/>
        </w:rPr>
        <w:t>；</w:t>
      </w:r>
    </w:p>
    <w:p>
      <w:pPr>
        <w:ind w:firstLine="480"/>
      </w:pPr>
      <w:r>
        <w:rPr>
          <w:i/>
        </w:rPr>
        <w:t>t</w:t>
      </w:r>
      <w:r>
        <w:rPr>
          <w:vertAlign w:val="subscript"/>
        </w:rPr>
        <w:t>0</w:t>
      </w:r>
      <w:r>
        <w:rPr>
          <w:rFonts w:cs="Times New Roman"/>
          <w:sz w:val="21"/>
        </w:rPr>
        <w:t>——</w:t>
      </w:r>
      <w:r>
        <w:t>新浇混凝土初凝时间（h）；</w:t>
      </w:r>
    </w:p>
    <w:p>
      <w:pPr>
        <w:ind w:left="1320" w:leftChars="200" w:hanging="840" w:hangingChars="350"/>
      </w:pPr>
      <w:r>
        <w:rPr>
          <w:position w:val="-12"/>
        </w:rPr>
        <w:object>
          <v:shape id="_x0000_i1056" o:spt="75" type="#_x0000_t75" style="height:18.35pt;width:13.6pt;" o:ole="t" filled="f" o:preferrelative="t" stroked="f" coordsize="21600,21600">
            <v:path/>
            <v:fill on="f" focussize="0,0"/>
            <v:stroke on="f" joinstyle="miter"/>
            <v:imagedata r:id="rId83" o:title=""/>
            <o:lock v:ext="edit" aspectratio="t"/>
            <w10:wrap type="none"/>
            <w10:anchorlock/>
          </v:shape>
          <o:OLEObject Type="Embed" ProgID="Equation.DSMT4" ShapeID="_x0000_i1056" DrawAspect="Content" ObjectID="_1468075756" r:id="rId82">
            <o:LockedField>false</o:LockedField>
          </o:OLEObject>
        </w:object>
      </w:r>
      <w:r>
        <w:rPr>
          <w:rFonts w:cs="Times New Roman"/>
          <w:sz w:val="21"/>
        </w:rPr>
        <w:t>——</w:t>
      </w:r>
      <w:r>
        <w:t>外加剂影响修正系数，</w:t>
      </w:r>
      <w:r>
        <w:rPr>
          <w:rFonts w:hint="eastAsia"/>
        </w:rPr>
        <w:t>掺</w:t>
      </w:r>
      <w:r>
        <w:t>具有缓凝作用的外加剂时取1.2，不掺时取1.0；</w:t>
      </w:r>
    </w:p>
    <w:p>
      <w:pPr>
        <w:ind w:left="1320" w:leftChars="200" w:hanging="840" w:hangingChars="350"/>
      </w:pPr>
      <w:r>
        <w:rPr>
          <w:position w:val="-12"/>
        </w:rPr>
        <w:object>
          <v:shape id="_x0000_i1057" o:spt="75" type="#_x0000_t75" style="height:17pt;width:17pt;" o:ole="t" filled="f" o:preferrelative="t" stroked="f" coordsize="21600,21600">
            <v:path/>
            <v:fill on="f" focussize="0,0"/>
            <v:stroke on="f" joinstyle="miter"/>
            <v:imagedata r:id="rId85" o:title=""/>
            <o:lock v:ext="edit" aspectratio="t"/>
            <w10:wrap type="none"/>
            <w10:anchorlock/>
          </v:shape>
          <o:OLEObject Type="Embed" ProgID="Equation.DSMT4" ShapeID="_x0000_i1057" DrawAspect="Content" ObjectID="_1468075757" r:id="rId84">
            <o:LockedField>false</o:LockedField>
          </o:OLEObject>
        </w:object>
      </w:r>
      <w:r>
        <w:rPr>
          <w:rFonts w:cs="Times New Roman"/>
          <w:sz w:val="21"/>
        </w:rPr>
        <w:t>——</w:t>
      </w:r>
      <w:r>
        <w:t>混凝土塌落度影响修正系数，当塌落度小于30mm时，取0.85；50mm~90mm时取1.0；110mm~150mm时取1.15；</w:t>
      </w:r>
    </w:p>
    <w:p>
      <w:pPr>
        <w:ind w:firstLine="480"/>
      </w:pPr>
      <w:r>
        <w:rPr>
          <w:i/>
        </w:rPr>
        <w:t>H</w:t>
      </w:r>
      <w:r>
        <w:rPr>
          <w:rFonts w:cs="Times New Roman"/>
          <w:sz w:val="21"/>
        </w:rPr>
        <w:t>——</w:t>
      </w:r>
      <w:r>
        <w:t>混凝土侧压力计算位置处至新浇混凝土顶面的总高度（m）</w:t>
      </w:r>
      <w:r>
        <w:rPr>
          <w:rFonts w:hint="eastAsia"/>
        </w:rPr>
        <w:t>。</w:t>
      </w:r>
    </w:p>
    <w:p>
      <w:pPr>
        <w:pStyle w:val="4"/>
        <w:rPr>
          <w:lang w:bidi="en-US"/>
        </w:rPr>
      </w:pPr>
      <w:bookmarkStart w:id="88" w:name="_Toc77763477"/>
      <w:bookmarkStart w:id="89" w:name="_Toc104109426"/>
      <w:r>
        <w:rPr>
          <w:rFonts w:hint="eastAsia"/>
          <w:lang w:bidi="en-US"/>
        </w:rPr>
        <w:t>沉井封底混凝土浇筑，采用导管法进行水下混凝土封底时，首批混凝土数量应按下列公式进行计算</w:t>
      </w:r>
      <w:r>
        <w:rPr>
          <w:lang w:bidi="en-US"/>
        </w:rPr>
        <w:t>:</w:t>
      </w:r>
      <w:bookmarkEnd w:id="88"/>
      <w:bookmarkEnd w:id="89"/>
    </w:p>
    <w:tbl>
      <w:tblPr>
        <w:tblStyle w:val="2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99"/>
        <w:gridCol w:w="14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8" w:hRule="atLeast"/>
        </w:trPr>
        <w:tc>
          <w:tcPr>
            <w:tcW w:w="6799" w:type="dxa"/>
            <w:vAlign w:val="center"/>
          </w:tcPr>
          <w:p>
            <w:pPr>
              <w:ind w:firstLine="0" w:firstLineChars="0"/>
              <w:jc w:val="center"/>
              <w:rPr>
                <w:lang w:bidi="en-US"/>
              </w:rPr>
            </w:pPr>
            <w:r>
              <w:rPr>
                <w:lang w:bidi="en-US"/>
              </w:rPr>
              <w:object>
                <v:shape id="_x0000_i1058" o:spt="75" type="#_x0000_t75" style="height:29.9pt;width:96.45pt;" o:ole="t" filled="f" o:preferrelative="t" stroked="f" coordsize="21600,21600">
                  <v:path/>
                  <v:fill on="f" focussize="0,0"/>
                  <v:stroke on="f" joinstyle="miter"/>
                  <v:imagedata r:id="rId87" o:title=""/>
                  <o:lock v:ext="edit" aspectratio="t"/>
                  <w10:wrap type="none"/>
                  <w10:anchorlock/>
                </v:shape>
                <o:OLEObject Type="Embed" ProgID="Equation.DSMT4" ShapeID="_x0000_i1058" DrawAspect="Content" ObjectID="_1468075758" r:id="rId86">
                  <o:LockedField>false</o:LockedField>
                </o:OLEObject>
              </w:object>
            </w:r>
          </w:p>
        </w:tc>
        <w:tc>
          <w:tcPr>
            <w:tcW w:w="1497" w:type="dxa"/>
            <w:vAlign w:val="center"/>
          </w:tcPr>
          <w:p>
            <w:pPr>
              <w:ind w:firstLine="0" w:firstLineChars="0"/>
              <w:jc w:val="center"/>
              <w:rPr>
                <w:sz w:val="21"/>
                <w:szCs w:val="21"/>
                <w:lang w:bidi="en-US"/>
              </w:rPr>
            </w:pPr>
            <w:r>
              <w:rPr>
                <w:rFonts w:hint="eastAsia"/>
                <w:sz w:val="21"/>
                <w:szCs w:val="21"/>
              </w:rPr>
              <w:t>（</w:t>
            </w:r>
            <w:r>
              <w:rPr>
                <w:sz w:val="21"/>
                <w:szCs w:val="21"/>
              </w:rPr>
              <w:t>4.5.2-1</w:t>
            </w:r>
            <w:r>
              <w:rPr>
                <w:rFonts w:hint="eastAsia"/>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6799" w:type="dxa"/>
            <w:vAlign w:val="center"/>
          </w:tcPr>
          <w:p>
            <w:pPr>
              <w:ind w:firstLine="0" w:firstLineChars="0"/>
              <w:jc w:val="center"/>
              <w:rPr>
                <w:lang w:bidi="en-US"/>
              </w:rPr>
            </w:pPr>
            <w:r>
              <w:rPr>
                <w:position w:val="-28"/>
                <w:lang w:bidi="en-US"/>
              </w:rPr>
              <w:object>
                <v:shape id="_x0000_i1059" o:spt="75" type="#_x0000_t75" style="height:34.65pt;width:71.3pt;" o:ole="t" filled="f" o:preferrelative="t" stroked="f" coordsize="21600,21600">
                  <v:path/>
                  <v:fill on="f" focussize="0,0"/>
                  <v:stroke on="f" joinstyle="miter"/>
                  <v:imagedata r:id="rId89" o:title=""/>
                  <o:lock v:ext="edit" aspectratio="t"/>
                  <w10:wrap type="none"/>
                  <w10:anchorlock/>
                </v:shape>
                <o:OLEObject Type="Embed" ProgID="Equation.DSMT4" ShapeID="_x0000_i1059" DrawAspect="Content" ObjectID="_1468075759" r:id="rId88">
                  <o:LockedField>false</o:LockedField>
                </o:OLEObject>
              </w:object>
            </w:r>
          </w:p>
        </w:tc>
        <w:tc>
          <w:tcPr>
            <w:tcW w:w="1497" w:type="dxa"/>
            <w:vAlign w:val="center"/>
          </w:tcPr>
          <w:p>
            <w:pPr>
              <w:ind w:firstLine="0" w:firstLineChars="0"/>
              <w:jc w:val="center"/>
              <w:rPr>
                <w:sz w:val="21"/>
                <w:szCs w:val="21"/>
                <w:lang w:bidi="en-US"/>
              </w:rPr>
            </w:pPr>
            <w:r>
              <w:rPr>
                <w:rFonts w:hint="eastAsia"/>
                <w:sz w:val="21"/>
                <w:szCs w:val="21"/>
              </w:rPr>
              <w:t>（</w:t>
            </w:r>
            <w:r>
              <w:rPr>
                <w:sz w:val="21"/>
                <w:szCs w:val="21"/>
              </w:rPr>
              <w:t>4.5.2-2</w:t>
            </w:r>
            <w:r>
              <w:rPr>
                <w:rFonts w:hint="eastAsia"/>
                <w:sz w:val="21"/>
                <w:szCs w:val="21"/>
              </w:rPr>
              <w:t>）</w:t>
            </w:r>
          </w:p>
        </w:tc>
      </w:tr>
      <w:bookmarkEnd w:id="85"/>
    </w:tbl>
    <w:p>
      <w:pPr>
        <w:ind w:firstLine="0" w:firstLineChars="0"/>
        <w:rPr>
          <w:lang w:bidi="en-US"/>
        </w:rPr>
      </w:pPr>
      <w:r>
        <w:rPr>
          <w:rFonts w:hint="eastAsia"/>
          <w:lang w:bidi="en-US"/>
        </w:rPr>
        <w:t>式中：</w:t>
      </w:r>
    </w:p>
    <w:p>
      <w:pPr>
        <w:ind w:firstLine="480"/>
        <w:rPr>
          <w:lang w:bidi="en-US"/>
        </w:rPr>
      </w:pPr>
      <m:oMath>
        <m:sSub>
          <m:sSubPr>
            <m:ctrlPr>
              <w:rPr>
                <w:rFonts w:ascii="Cambria Math" w:hAnsi="Cambria Math"/>
                <w:i/>
                <w:lang w:bidi="en-US"/>
              </w:rPr>
            </m:ctrlPr>
          </m:sSubPr>
          <m:e>
            <m:r>
              <m:rPr/>
              <w:rPr>
                <w:rFonts w:ascii="Cambria Math"/>
                <w:lang w:bidi="en-US"/>
              </w:rPr>
              <m:t>V</m:t>
            </m:r>
            <m:ctrlPr>
              <w:rPr>
                <w:rFonts w:ascii="Cambria Math" w:hAnsi="Cambria Math"/>
                <w:i/>
                <w:lang w:bidi="en-US"/>
              </w:rPr>
            </m:ctrlPr>
          </m:e>
          <m:sub>
            <m:r>
              <m:rPr/>
              <w:rPr>
                <w:rFonts w:ascii="Cambria Math"/>
                <w:lang w:bidi="en-US"/>
              </w:rPr>
              <m:t>c</m:t>
            </m:r>
            <m:ctrlPr>
              <w:rPr>
                <w:rFonts w:ascii="Cambria Math" w:hAnsi="Cambria Math"/>
                <w:i/>
                <w:lang w:bidi="en-US"/>
              </w:rPr>
            </m:ctrlPr>
          </m:sub>
        </m:sSub>
      </m:oMath>
      <w:r>
        <w:rPr>
          <w:rFonts w:cs="Times New Roman"/>
          <w:sz w:val="21"/>
        </w:rPr>
        <w:t>——</w:t>
      </w:r>
      <w:r>
        <w:rPr>
          <w:rFonts w:hint="eastAsia"/>
          <w:lang w:bidi="en-US"/>
        </w:rPr>
        <w:t>混凝土初灌量</w:t>
      </w:r>
      <w:r>
        <w:rPr>
          <w:lang w:bidi="en-US"/>
        </w:rPr>
        <w:t>(m</w:t>
      </w:r>
      <w:r>
        <w:rPr>
          <w:vertAlign w:val="superscript"/>
          <w:lang w:bidi="en-US"/>
        </w:rPr>
        <w:t>3</w:t>
      </w:r>
      <w:r>
        <w:rPr>
          <w:lang w:bidi="en-US"/>
        </w:rPr>
        <w:t>)</w:t>
      </w:r>
      <w:r>
        <w:rPr>
          <w:rFonts w:hint="eastAsia"/>
          <w:lang w:bidi="en-US"/>
        </w:rPr>
        <w:t>；</w:t>
      </w:r>
    </w:p>
    <w:p>
      <w:pPr>
        <w:ind w:firstLine="480"/>
        <w:rPr>
          <w:lang w:bidi="en-US"/>
        </w:rPr>
      </w:pPr>
      <w:r>
        <w:rPr>
          <w:i/>
          <w:lang w:bidi="en-US"/>
        </w:rPr>
        <w:t>h</w:t>
      </w:r>
      <w:r>
        <w:rPr>
          <w:rFonts w:cs="Times New Roman"/>
          <w:sz w:val="21"/>
        </w:rPr>
        <w:t>——</w:t>
      </w:r>
      <w:r>
        <w:rPr>
          <w:rFonts w:hint="eastAsia"/>
          <w:lang w:bidi="en-US"/>
        </w:rPr>
        <w:t>水位面至基底的深度</w:t>
      </w:r>
      <w:r>
        <w:rPr>
          <w:lang w:bidi="en-US"/>
        </w:rPr>
        <w:t>(m)</w:t>
      </w:r>
      <w:r>
        <w:rPr>
          <w:rFonts w:hint="eastAsia"/>
          <w:lang w:bidi="en-US"/>
        </w:rPr>
        <w:t>；</w:t>
      </w:r>
    </w:p>
    <w:p>
      <w:pPr>
        <w:ind w:firstLine="480"/>
        <w:rPr>
          <w:lang w:bidi="en-US"/>
        </w:rPr>
      </w:pPr>
      <w:r>
        <w:rPr>
          <w:i/>
          <w:lang w:bidi="en-US"/>
        </w:rPr>
        <w:t>h</w:t>
      </w:r>
      <w:r>
        <w:rPr>
          <w:vertAlign w:val="subscript"/>
          <w:lang w:bidi="en-US"/>
        </w:rPr>
        <w:t>1</w:t>
      </w:r>
      <w:r>
        <w:rPr>
          <w:rFonts w:cs="Times New Roman"/>
          <w:sz w:val="21"/>
        </w:rPr>
        <w:t>——</w:t>
      </w:r>
      <w:r>
        <w:rPr>
          <w:rFonts w:hint="eastAsia"/>
          <w:lang w:bidi="en-US"/>
        </w:rPr>
        <w:t>导管内混凝土柱与管外泥浆柱平衡所需高度</w:t>
      </w:r>
      <w:r>
        <w:rPr>
          <w:lang w:bidi="en-US"/>
        </w:rPr>
        <w:t>(m)</w:t>
      </w:r>
      <w:r>
        <w:rPr>
          <w:rFonts w:hint="eastAsia"/>
          <w:lang w:bidi="en-US"/>
        </w:rPr>
        <w:t>；</w:t>
      </w:r>
    </w:p>
    <w:p>
      <w:pPr>
        <w:ind w:left="1200" w:leftChars="200" w:hanging="720" w:hangingChars="300"/>
        <w:rPr>
          <w:lang w:bidi="en-US"/>
        </w:rPr>
      </w:pPr>
      <w:r>
        <w:rPr>
          <w:i/>
          <w:lang w:bidi="en-US"/>
        </w:rPr>
        <w:t>h</w:t>
      </w:r>
      <w:r>
        <w:rPr>
          <w:vertAlign w:val="subscript"/>
          <w:lang w:bidi="en-US"/>
        </w:rPr>
        <w:t>2</w:t>
      </w:r>
      <w:r>
        <w:rPr>
          <w:rFonts w:cs="Times New Roman"/>
          <w:sz w:val="21"/>
        </w:rPr>
        <w:t>——</w:t>
      </w:r>
      <w:r>
        <w:rPr>
          <w:rFonts w:hint="eastAsia"/>
          <w:lang w:bidi="en-US"/>
        </w:rPr>
        <w:t>初灌混凝土下灌后导管外混凝土扩散高度</w:t>
      </w:r>
      <w:r>
        <w:rPr>
          <w:lang w:bidi="en-US"/>
        </w:rPr>
        <w:t>(m)</w:t>
      </w:r>
      <w:r>
        <w:rPr>
          <w:rFonts w:hint="eastAsia"/>
          <w:lang w:bidi="en-US"/>
        </w:rPr>
        <w:t>；</w:t>
      </w:r>
    </w:p>
    <w:p>
      <w:pPr>
        <w:ind w:firstLine="480"/>
        <w:rPr>
          <w:lang w:bidi="en-US"/>
        </w:rPr>
      </w:pPr>
      <w:r>
        <w:rPr>
          <w:i/>
          <w:lang w:bidi="en-US"/>
        </w:rPr>
        <w:t>d</w:t>
      </w:r>
      <w:r>
        <w:rPr>
          <w:rFonts w:cs="Times New Roman"/>
          <w:sz w:val="21"/>
        </w:rPr>
        <w:t>——</w:t>
      </w:r>
      <w:r>
        <w:rPr>
          <w:rFonts w:hint="eastAsia"/>
          <w:lang w:bidi="en-US"/>
        </w:rPr>
        <w:t>导管内径</w:t>
      </w:r>
      <w:r>
        <w:rPr>
          <w:lang w:bidi="en-US"/>
        </w:rPr>
        <w:t>(m)</w:t>
      </w:r>
      <w:r>
        <w:rPr>
          <w:rFonts w:hint="eastAsia"/>
          <w:lang w:bidi="en-US"/>
        </w:rPr>
        <w:t>；</w:t>
      </w:r>
    </w:p>
    <w:p>
      <w:pPr>
        <w:ind w:firstLine="480"/>
        <w:rPr>
          <w:lang w:bidi="en-US"/>
        </w:rPr>
      </w:pPr>
      <w:r>
        <w:rPr>
          <w:i/>
          <w:lang w:bidi="en-US"/>
        </w:rPr>
        <w:t>r</w:t>
      </w:r>
      <w:r>
        <w:rPr>
          <w:rFonts w:cs="Times New Roman"/>
          <w:sz w:val="21"/>
        </w:rPr>
        <w:t>——</w:t>
      </w:r>
      <w:r>
        <w:rPr>
          <w:rFonts w:hint="eastAsia"/>
          <w:lang w:bidi="en-US"/>
        </w:rPr>
        <w:t>扩散半径</w:t>
      </w:r>
      <w:r>
        <w:rPr>
          <w:lang w:bidi="en-US"/>
        </w:rPr>
        <w:t>(m)</w:t>
      </w:r>
      <w:r>
        <w:rPr>
          <w:rFonts w:hint="eastAsia"/>
          <w:lang w:bidi="en-US"/>
        </w:rPr>
        <w:t>；</w:t>
      </w:r>
    </w:p>
    <w:p>
      <w:pPr>
        <w:ind w:firstLine="480"/>
        <w:rPr>
          <w:lang w:bidi="en-US"/>
        </w:rPr>
      </w:pPr>
      <w:r>
        <w:rPr>
          <w:i/>
          <w:lang w:bidi="en-US"/>
        </w:rPr>
        <w:t>k</w:t>
      </w:r>
      <w:r>
        <w:rPr>
          <w:rFonts w:cs="Times New Roman"/>
          <w:sz w:val="21"/>
        </w:rPr>
        <w:t>——</w:t>
      </w:r>
      <w:r>
        <w:rPr>
          <w:rFonts w:hint="eastAsia"/>
          <w:lang w:bidi="en-US"/>
        </w:rPr>
        <w:t>充盈系数，宜取</w:t>
      </w:r>
      <w:r>
        <w:rPr>
          <w:lang w:bidi="en-US"/>
        </w:rPr>
        <w:t>1.3</w:t>
      </w:r>
      <w:r>
        <w:rPr>
          <w:rFonts w:hint="eastAsia"/>
          <w:lang w:bidi="en-US"/>
        </w:rPr>
        <w:t>；</w:t>
      </w:r>
    </w:p>
    <w:p>
      <w:pPr>
        <w:ind w:firstLine="480"/>
      </w:pPr>
      <m:oMath>
        <m:sSub>
          <m:sSubPr>
            <m:ctrlPr>
              <w:rPr>
                <w:rFonts w:ascii="Cambria Math" w:hAnsi="Cambria Math"/>
                <w:i/>
              </w:rPr>
            </m:ctrlPr>
          </m:sSubPr>
          <m:e>
            <m:r>
              <m:rPr/>
              <w:rPr>
                <w:rFonts w:ascii="Cambria Math" w:hAnsi="Cambria Math"/>
              </w:rPr>
              <m:t>γ</m:t>
            </m:r>
            <m:ctrlPr>
              <w:rPr>
                <w:rFonts w:ascii="Cambria Math" w:hAnsi="Cambria Math"/>
                <w:i/>
              </w:rPr>
            </m:ctrlPr>
          </m:e>
          <m:sub>
            <m:r>
              <m:rPr>
                <m:sty m:val="p"/>
              </m:rPr>
              <w:rPr>
                <w:rFonts w:ascii="Cambria Math" w:hAnsi="Cambria Math"/>
              </w:rPr>
              <m:t>w</m:t>
            </m:r>
            <m:ctrlPr>
              <w:rPr>
                <w:rFonts w:ascii="Cambria Math" w:hAnsi="Cambria Math"/>
                <w:i/>
              </w:rPr>
            </m:ctrlPr>
          </m:sub>
        </m:sSub>
      </m:oMath>
      <w:r>
        <w:rPr>
          <w:rFonts w:cs="Times New Roman"/>
          <w:sz w:val="21"/>
        </w:rPr>
        <w:t>——</w:t>
      </w:r>
      <w:r>
        <w:rPr>
          <w:rFonts w:hint="eastAsia"/>
        </w:rPr>
        <w:t>水</w:t>
      </w:r>
      <w:r>
        <w:t>的</w:t>
      </w:r>
      <w:r>
        <w:rPr>
          <w:rFonts w:hint="eastAsia"/>
        </w:rPr>
        <w:t>重度，取9.81kN/m</w:t>
      </w:r>
      <w:r>
        <w:rPr>
          <w:vertAlign w:val="superscript"/>
        </w:rPr>
        <w:t>3</w:t>
      </w:r>
      <w:r>
        <w:rPr>
          <w:rFonts w:hint="eastAsia"/>
        </w:rPr>
        <w:t>；</w:t>
      </w:r>
    </w:p>
    <w:p>
      <w:pPr>
        <w:ind w:firstLine="480"/>
        <w:rPr>
          <w:lang w:bidi="en-US"/>
        </w:rPr>
      </w:pPr>
      <w:r>
        <w:rPr>
          <w:position w:val="-10"/>
          <w:lang w:bidi="en-US"/>
        </w:rPr>
        <w:object>
          <v:shape id="_x0000_i1060" o:spt="75" type="#_x0000_t75" style="height:15.6pt;width:12.25pt;" o:ole="t" filled="f" o:preferrelative="t" stroked="f" coordsize="21600,21600">
            <v:path/>
            <v:fill on="f" focussize="0,0"/>
            <v:stroke on="f" joinstyle="miter"/>
            <v:imagedata r:id="rId91" o:title=""/>
            <o:lock v:ext="edit" aspectratio="t"/>
            <w10:wrap type="none"/>
            <w10:anchorlock/>
          </v:shape>
          <o:OLEObject Type="Embed" ProgID="Equation.DSMT4" ShapeID="_x0000_i1060" DrawAspect="Content" ObjectID="_1468075760" r:id="rId90">
            <o:LockedField>false</o:LockedField>
          </o:OLEObject>
        </w:object>
      </w:r>
      <w:r>
        <w:rPr>
          <w:rFonts w:cs="Times New Roman"/>
          <w:sz w:val="21"/>
        </w:rPr>
        <w:t>——</w:t>
      </w:r>
      <w:r>
        <w:rPr>
          <w:rFonts w:hint="eastAsia"/>
          <w:lang w:bidi="en-US"/>
        </w:rPr>
        <w:t>混凝土重度，取</w:t>
      </w:r>
      <w:r>
        <w:rPr>
          <w:lang w:bidi="en-US"/>
        </w:rPr>
        <w:t>23kN/m</w:t>
      </w:r>
      <w:r>
        <w:rPr>
          <w:vertAlign w:val="superscript"/>
          <w:lang w:bidi="en-US"/>
        </w:rPr>
        <w:t>3</w:t>
      </w:r>
      <w:r>
        <w:rPr>
          <w:rFonts w:hint="eastAsia"/>
          <w:lang w:bidi="en-US"/>
        </w:rPr>
        <w:t>。</w:t>
      </w:r>
    </w:p>
    <w:p>
      <w:pPr>
        <w:spacing w:before="120" w:after="120"/>
        <w:ind w:firstLine="420"/>
        <w:jc w:val="center"/>
        <w:rPr>
          <w:rStyle w:val="56"/>
        </w:rPr>
      </w:pPr>
      <w:r>
        <w:rPr>
          <w:rFonts w:eastAsia="黑体"/>
          <w:bCs/>
          <w:smallCaps/>
          <w:spacing w:val="5"/>
          <w:sz w:val="21"/>
        </w:rPr>
        <w:drawing>
          <wp:inline distT="0" distB="0" distL="0" distR="0">
            <wp:extent cx="2998470" cy="25908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2" cstate="print">
                      <a:extLst>
                        <a:ext uri="{28A0092B-C50C-407E-A947-70E740481C1C}">
                          <a14:useLocalDpi xmlns:a14="http://schemas.microsoft.com/office/drawing/2010/main" val="0"/>
                        </a:ext>
                      </a:extLst>
                    </a:blip>
                    <a:srcRect l="10403" r="10903" b="3826"/>
                    <a:stretch>
                      <a:fillRect/>
                    </a:stretch>
                  </pic:blipFill>
                  <pic:spPr>
                    <a:xfrm>
                      <a:off x="0" y="0"/>
                      <a:ext cx="3052577" cy="2637398"/>
                    </a:xfrm>
                    <a:prstGeom prst="rect">
                      <a:avLst/>
                    </a:prstGeom>
                    <a:ln>
                      <a:noFill/>
                    </a:ln>
                  </pic:spPr>
                </pic:pic>
              </a:graphicData>
            </a:graphic>
          </wp:inline>
        </w:drawing>
      </w:r>
      <w:r>
        <w:rPr>
          <w:rStyle w:val="56"/>
        </w:rPr>
        <w:t xml:space="preserve"> </w:t>
      </w:r>
    </w:p>
    <w:p>
      <w:pPr>
        <w:spacing w:before="120" w:after="120"/>
        <w:ind w:firstLine="420"/>
        <w:jc w:val="center"/>
        <w:rPr>
          <w:rFonts w:eastAsia="宋体" w:cs="Times New Roman"/>
          <w:sz w:val="21"/>
          <w:szCs w:val="21"/>
          <w:lang w:bidi="en-US"/>
        </w:rPr>
      </w:pPr>
      <w:r>
        <w:rPr>
          <w:rFonts w:eastAsia="宋体" w:cs="Times New Roman"/>
          <w:sz w:val="21"/>
          <w:szCs w:val="21"/>
          <w:lang w:bidi="en-US"/>
        </w:rPr>
        <w:t>1</w:t>
      </w:r>
      <w:r>
        <w:rPr>
          <w:rFonts w:cs="Times New Roman"/>
          <w:sz w:val="21"/>
        </w:rPr>
        <w:t>——</w:t>
      </w:r>
      <w:r>
        <w:rPr>
          <w:rFonts w:hint="eastAsia" w:eastAsia="宋体" w:cs="Times New Roman"/>
          <w:sz w:val="21"/>
          <w:szCs w:val="21"/>
          <w:lang w:bidi="en-US"/>
        </w:rPr>
        <w:t>算料斗；</w:t>
      </w:r>
      <w:r>
        <w:rPr>
          <w:rFonts w:eastAsia="宋体" w:cs="Times New Roman"/>
          <w:sz w:val="21"/>
          <w:szCs w:val="21"/>
          <w:lang w:bidi="en-US"/>
        </w:rPr>
        <w:t>2</w:t>
      </w:r>
      <w:r>
        <w:rPr>
          <w:rFonts w:cs="Times New Roman"/>
          <w:sz w:val="21"/>
        </w:rPr>
        <w:t>——</w:t>
      </w:r>
      <w:r>
        <w:rPr>
          <w:rFonts w:hint="eastAsia" w:eastAsia="宋体" w:cs="Times New Roman"/>
          <w:sz w:val="21"/>
          <w:szCs w:val="21"/>
          <w:lang w:bidi="en-US"/>
        </w:rPr>
        <w:t>斗导管；</w:t>
      </w:r>
      <w:r>
        <w:rPr>
          <w:rFonts w:eastAsia="宋体" w:cs="Times New Roman"/>
          <w:i/>
          <w:sz w:val="21"/>
          <w:szCs w:val="21"/>
          <w:lang w:bidi="en-US"/>
        </w:rPr>
        <w:t>H</w:t>
      </w:r>
      <w:r>
        <w:rPr>
          <w:rFonts w:eastAsia="宋体" w:cs="Times New Roman"/>
          <w:sz w:val="21"/>
          <w:szCs w:val="21"/>
          <w:vertAlign w:val="subscript"/>
          <w:lang w:bidi="en-US"/>
        </w:rPr>
        <w:t>w</w:t>
      </w:r>
      <w:r>
        <w:rPr>
          <w:rFonts w:cs="Times New Roman"/>
          <w:sz w:val="21"/>
        </w:rPr>
        <w:t>——</w:t>
      </w:r>
      <w:r>
        <w:rPr>
          <w:rFonts w:hint="eastAsia" w:eastAsia="宋体" w:cs="Times New Roman"/>
          <w:sz w:val="21"/>
          <w:szCs w:val="21"/>
          <w:lang w:bidi="en-US"/>
        </w:rPr>
        <w:t>水位</w:t>
      </w:r>
    </w:p>
    <w:p>
      <w:pPr>
        <w:pStyle w:val="8"/>
        <w:ind w:firstLine="442"/>
        <w:rPr>
          <w:rStyle w:val="56"/>
        </w:rPr>
      </w:pPr>
      <w:r>
        <w:rPr>
          <w:rStyle w:val="56"/>
          <w:rFonts w:hint="eastAsia"/>
        </w:rPr>
        <w:t>图</w:t>
      </w:r>
      <w:r>
        <w:rPr>
          <w:rStyle w:val="56"/>
        </w:rPr>
        <w:t xml:space="preserve">4.5.2 </w:t>
      </w:r>
      <w:r>
        <w:rPr>
          <w:rStyle w:val="56"/>
          <w:rFonts w:hint="eastAsia"/>
        </w:rPr>
        <w:t>混凝土初灌量计算示意</w:t>
      </w:r>
    </w:p>
    <w:p>
      <w:pPr>
        <w:pStyle w:val="3"/>
        <w:spacing w:before="312"/>
      </w:pPr>
      <w:bookmarkStart w:id="90" w:name="_Toc112317324"/>
      <w:r>
        <w:rPr>
          <w:rFonts w:hint="eastAsia"/>
        </w:rPr>
        <w:t>吸泥设备选型</w:t>
      </w:r>
      <w:bookmarkEnd w:id="90"/>
    </w:p>
    <w:p>
      <w:pPr>
        <w:pStyle w:val="4"/>
        <w:rPr>
          <w:lang w:bidi="en-US"/>
        </w:rPr>
      </w:pPr>
      <w:bookmarkStart w:id="91" w:name="_Toc77763479"/>
      <w:bookmarkStart w:id="92" w:name="_Toc71191396"/>
      <w:bookmarkStart w:id="93" w:name="_Toc104109428"/>
      <w:r>
        <w:rPr>
          <w:rFonts w:hint="eastAsia"/>
        </w:rPr>
        <w:t>采用空气吸泥机吸泥时，空气吸泥机在水中的埋深</w:t>
      </w:r>
      <w:r>
        <w:rPr>
          <w:i/>
        </w:rPr>
        <w:t>H</w:t>
      </w:r>
      <w:r>
        <w:rPr>
          <w:rFonts w:hint="eastAsia"/>
        </w:rPr>
        <w:t>应符合下列公式：</w:t>
      </w:r>
      <w:bookmarkEnd w:id="91"/>
      <w:bookmarkEnd w:id="92"/>
      <w:bookmarkEnd w:id="93"/>
    </w:p>
    <w:tbl>
      <w:tblPr>
        <w:tblStyle w:val="2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54"/>
        <w:gridCol w:w="14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54" w:type="dxa"/>
          </w:tcPr>
          <w:p>
            <w:pPr>
              <w:pStyle w:val="59"/>
              <w:rPr>
                <w:szCs w:val="21"/>
              </w:rPr>
            </w:pPr>
            <w:r>
              <w:rPr>
                <w:szCs w:val="21"/>
              </w:rPr>
              <w:object>
                <v:shape id="_x0000_i1061" o:spt="75" type="#_x0000_t75" style="height:34.65pt;width:89pt;" o:ole="t" filled="f" o:preferrelative="t" stroked="f" coordsize="21600,21600">
                  <v:path/>
                  <v:fill on="f" focussize="0,0"/>
                  <v:stroke on="f" joinstyle="miter"/>
                  <v:imagedata r:id="rId94" o:title=""/>
                  <o:lock v:ext="edit" aspectratio="t"/>
                  <w10:wrap type="none"/>
                  <w10:anchorlock/>
                </v:shape>
                <o:OLEObject Type="Embed" ProgID="Equation.DSMT4" ShapeID="_x0000_i1061" DrawAspect="Content" ObjectID="_1468075761" r:id="rId93">
                  <o:LockedField>false</o:LockedField>
                </o:OLEObject>
              </w:object>
            </w:r>
          </w:p>
        </w:tc>
        <w:tc>
          <w:tcPr>
            <w:tcW w:w="1468" w:type="dxa"/>
            <w:vAlign w:val="center"/>
          </w:tcPr>
          <w:p>
            <w:pPr>
              <w:pStyle w:val="59"/>
              <w:rPr>
                <w:szCs w:val="24"/>
              </w:rPr>
            </w:pPr>
            <w:r>
              <w:rPr>
                <w:rFonts w:hint="eastAsia"/>
                <w:szCs w:val="24"/>
              </w:rPr>
              <w:t>（</w:t>
            </w:r>
            <w:r>
              <w:rPr>
                <w:szCs w:val="24"/>
              </w:rPr>
              <w:t>4.6.</w:t>
            </w:r>
            <w:r>
              <w:rPr>
                <w:rFonts w:hint="eastAsia"/>
                <w:szCs w:val="24"/>
              </w:rPr>
              <w:t>1）</w:t>
            </w:r>
          </w:p>
        </w:tc>
      </w:tr>
    </w:tbl>
    <w:p>
      <w:pPr>
        <w:ind w:firstLine="0" w:firstLineChars="0"/>
      </w:pPr>
      <w:r>
        <w:rPr>
          <w:rFonts w:hint="eastAsia"/>
        </w:rPr>
        <w:t>式中：</w:t>
      </w:r>
    </w:p>
    <w:p>
      <w:pPr>
        <w:ind w:firstLine="480"/>
      </w:pPr>
      <m:oMath>
        <m:r>
          <m:rPr/>
          <w:rPr>
            <w:rFonts w:ascii="Cambria Math" w:hAnsi="Cambria Math"/>
          </w:rPr>
          <m:t>ℎ</m:t>
        </m:r>
      </m:oMath>
      <w:r>
        <w:rPr>
          <w:rFonts w:cs="Times New Roman"/>
          <w:sz w:val="21"/>
        </w:rPr>
        <w:t>——</w:t>
      </w:r>
      <w:r>
        <w:rPr>
          <w:rFonts w:hint="eastAsia"/>
        </w:rPr>
        <w:t>排浆管出口高于井内水面的高度（</w:t>
      </w:r>
      <w:r>
        <w:t>m</w:t>
      </w:r>
      <w:r>
        <w:rPr>
          <w:rFonts w:hint="eastAsia"/>
        </w:rPr>
        <w:t>）；</w:t>
      </w:r>
    </w:p>
    <w:p>
      <w:pPr>
        <w:ind w:firstLine="480"/>
      </w:pPr>
      <m:oMath>
        <m:sSub>
          <m:sSubPr>
            <m:ctrlPr>
              <w:rPr>
                <w:rFonts w:ascii="Cambria Math" w:hAnsi="Cambria Math"/>
                <w:i/>
              </w:rPr>
            </m:ctrlPr>
          </m:sSubPr>
          <m:e>
            <m:r>
              <m:rPr/>
              <w:rPr>
                <w:rFonts w:ascii="Cambria Math" w:hAnsi="Cambria Math"/>
              </w:rPr>
              <m:t>γ</m:t>
            </m:r>
            <m:ctrlPr>
              <w:rPr>
                <w:rFonts w:ascii="Cambria Math" w:hAnsi="Cambria Math"/>
                <w:i/>
              </w:rPr>
            </m:ctrlPr>
          </m:e>
          <m:sub>
            <m:r>
              <m:rPr>
                <m:sty m:val="p"/>
              </m:rPr>
              <w:rPr>
                <w:rFonts w:ascii="Cambria Math" w:hAnsi="Cambria Math"/>
              </w:rPr>
              <m:t>w</m:t>
            </m:r>
            <m:ctrlPr>
              <w:rPr>
                <w:rFonts w:ascii="Cambria Math" w:hAnsi="Cambria Math"/>
                <w:i/>
              </w:rPr>
            </m:ctrlPr>
          </m:sub>
        </m:sSub>
      </m:oMath>
      <w:r>
        <w:rPr>
          <w:rFonts w:cs="Times New Roman"/>
          <w:sz w:val="21"/>
        </w:rPr>
        <w:t>——</w:t>
      </w:r>
      <w:r>
        <w:rPr>
          <w:rFonts w:hint="eastAsia"/>
        </w:rPr>
        <w:t>水</w:t>
      </w:r>
      <w:r>
        <w:t>的</w:t>
      </w:r>
      <w:r>
        <w:rPr>
          <w:rFonts w:hint="eastAsia"/>
        </w:rPr>
        <w:t>重度（kN/m</w:t>
      </w:r>
      <w:r>
        <w:rPr>
          <w:vertAlign w:val="superscript"/>
        </w:rPr>
        <w:t>3</w:t>
      </w:r>
      <w:r>
        <w:rPr>
          <w:rFonts w:hint="eastAsia"/>
        </w:rPr>
        <w:t>）；</w:t>
      </w:r>
    </w:p>
    <w:p>
      <w:pPr>
        <w:ind w:firstLine="480"/>
      </w:pPr>
      <m:oMath>
        <m:sSub>
          <m:sSubPr>
            <m:ctrlPr>
              <w:rPr>
                <w:rFonts w:ascii="Cambria Math" w:hAnsi="Cambria Math"/>
              </w:rPr>
            </m:ctrlPr>
          </m:sSubPr>
          <m:e>
            <m:r>
              <m:rPr/>
              <w:rPr>
                <w:rFonts w:ascii="Cambria Math" w:hAnsi="Cambria Math"/>
              </w:rPr>
              <m:t>γ</m:t>
            </m:r>
            <m:ctrlPr>
              <w:rPr>
                <w:rFonts w:ascii="Cambria Math" w:hAnsi="Cambria Math"/>
              </w:rPr>
            </m:ctrlPr>
          </m:e>
          <m:sub>
            <m:r>
              <m:rPr>
                <m:sty m:val="p"/>
              </m:rPr>
              <w:rPr>
                <w:rFonts w:ascii="Cambria Math" w:hAnsi="Cambria Math"/>
              </w:rPr>
              <m:t>2</m:t>
            </m:r>
            <m:ctrlPr>
              <w:rPr>
                <w:rFonts w:ascii="Cambria Math" w:hAnsi="Cambria Math"/>
              </w:rPr>
            </m:ctrlPr>
          </m:sub>
        </m:sSub>
      </m:oMath>
      <w:r>
        <w:rPr>
          <w:rFonts w:cs="Times New Roman"/>
          <w:sz w:val="21"/>
        </w:rPr>
        <w:t>——</w:t>
      </w:r>
      <w:r>
        <w:rPr>
          <w:rFonts w:hint="eastAsia"/>
        </w:rPr>
        <w:t>泥浆的重度（kN/m</w:t>
      </w:r>
      <w:r>
        <w:rPr>
          <w:vertAlign w:val="superscript"/>
        </w:rPr>
        <w:t>3</w:t>
      </w:r>
      <w:r>
        <w:rPr>
          <w:rFonts w:hint="eastAsia"/>
        </w:rPr>
        <w:t>）；</w:t>
      </w:r>
    </w:p>
    <w:p>
      <w:pPr>
        <w:ind w:firstLine="480"/>
      </w:pPr>
      <m:oMath>
        <m:sSub>
          <m:sSubPr>
            <m:ctrlPr>
              <w:rPr>
                <w:rFonts w:ascii="Cambria Math" w:hAnsi="Cambria Math"/>
              </w:rPr>
            </m:ctrlPr>
          </m:sSubPr>
          <m:e>
            <m:r>
              <m:rPr/>
              <w:rPr>
                <w:rFonts w:ascii="Cambria Math" w:hAnsi="Cambria Math"/>
              </w:rPr>
              <m:t>γ</m:t>
            </m:r>
            <m:ctrlPr>
              <w:rPr>
                <w:rFonts w:ascii="Cambria Math" w:hAnsi="Cambria Math"/>
              </w:rPr>
            </m:ctrlPr>
          </m:e>
          <m:sub>
            <m:r>
              <m:rPr>
                <m:sty m:val="p"/>
              </m:rPr>
              <w:rPr>
                <w:rFonts w:ascii="Cambria Math" w:hAnsi="Cambria Math"/>
              </w:rPr>
              <m:t>3</m:t>
            </m:r>
            <m:ctrlPr>
              <w:rPr>
                <w:rFonts w:ascii="Cambria Math" w:hAnsi="Cambria Math"/>
              </w:rPr>
            </m:ctrlPr>
          </m:sub>
        </m:sSub>
      </m:oMath>
      <w:r>
        <w:rPr>
          <w:rFonts w:cs="Times New Roman"/>
          <w:sz w:val="21"/>
        </w:rPr>
        <w:t>——</w:t>
      </w:r>
      <w:r>
        <w:rPr>
          <w:rFonts w:hint="eastAsia"/>
        </w:rPr>
        <w:t>泥浆与空气混合物的重度（kN/m</w:t>
      </w:r>
      <w:r>
        <w:rPr>
          <w:vertAlign w:val="superscript"/>
        </w:rPr>
        <w:t>3</w:t>
      </w:r>
      <w:r>
        <w:rPr>
          <w:rFonts w:hint="eastAsia"/>
        </w:rPr>
        <w:t>）；</w:t>
      </w:r>
    </w:p>
    <w:p>
      <w:pPr>
        <w:ind w:firstLine="480"/>
      </w:pPr>
      <m:oMath>
        <m:r>
          <m:rPr/>
          <w:rPr>
            <w:rFonts w:ascii="Cambria Math" w:hAnsi="Cambria Math"/>
          </w:rPr>
          <m:t>α</m:t>
        </m:r>
      </m:oMath>
      <w:r>
        <w:rPr>
          <w:rFonts w:cs="Times New Roman"/>
          <w:sz w:val="21"/>
        </w:rPr>
        <w:t>——</w:t>
      </w:r>
      <w:r>
        <w:rPr>
          <w:rFonts w:hint="eastAsia"/>
        </w:rPr>
        <w:t>吸泥器距离吸泥管底的高度（</w:t>
      </w:r>
      <w:r>
        <w:t>m</w:t>
      </w:r>
      <w:r>
        <w:rPr>
          <w:rFonts w:hint="eastAsia"/>
        </w:rPr>
        <w:t>）。</w:t>
      </w:r>
    </w:p>
    <w:p>
      <w:pPr>
        <w:pStyle w:val="8"/>
        <w:ind w:firstLine="422"/>
        <w:rPr>
          <w:rStyle w:val="56"/>
          <w:rFonts w:cstheme="minorBidi"/>
          <w:szCs w:val="22"/>
        </w:rPr>
      </w:pPr>
      <w:r>
        <w:drawing>
          <wp:inline distT="0" distB="0" distL="0" distR="0">
            <wp:extent cx="2169795" cy="3121660"/>
            <wp:effectExtent l="0" t="0" r="1905" b="2540"/>
            <wp:docPr id="10" name="图片 10" descr="C:\Users\Administrator\Desktop\空气吸泥.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strator\Desktop\空气吸泥.png"/>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a:xfrm>
                      <a:off x="0" y="0"/>
                      <a:ext cx="2188515" cy="3148613"/>
                    </a:xfrm>
                    <a:prstGeom prst="rect">
                      <a:avLst/>
                    </a:prstGeom>
                    <a:noFill/>
                    <a:ln>
                      <a:noFill/>
                    </a:ln>
                  </pic:spPr>
                </pic:pic>
              </a:graphicData>
            </a:graphic>
          </wp:inline>
        </w:drawing>
      </w:r>
    </w:p>
    <w:p>
      <w:pPr>
        <w:pStyle w:val="8"/>
        <w:ind w:firstLine="442"/>
        <w:rPr>
          <w:rStyle w:val="56"/>
          <w:rFonts w:cstheme="minorBidi"/>
          <w:szCs w:val="22"/>
        </w:rPr>
      </w:pPr>
      <w:r>
        <w:rPr>
          <w:rStyle w:val="56"/>
          <w:rFonts w:hint="eastAsia" w:cstheme="minorBidi"/>
          <w:szCs w:val="22"/>
        </w:rPr>
        <w:t>图</w:t>
      </w:r>
      <w:r>
        <w:rPr>
          <w:rStyle w:val="56"/>
          <w:rFonts w:cstheme="minorBidi"/>
          <w:szCs w:val="22"/>
        </w:rPr>
        <w:t xml:space="preserve">4.6.1  </w:t>
      </w:r>
      <w:r>
        <w:rPr>
          <w:rStyle w:val="56"/>
          <w:rFonts w:hint="eastAsia" w:cstheme="minorBidi"/>
          <w:szCs w:val="22"/>
        </w:rPr>
        <w:t>空气吸泥机在水中的埋深</w:t>
      </w:r>
    </w:p>
    <w:p>
      <w:pPr>
        <w:pStyle w:val="4"/>
        <w:rPr>
          <w:lang w:bidi="en-US"/>
        </w:rPr>
      </w:pPr>
      <w:bookmarkStart w:id="94" w:name="_Toc71191439"/>
      <w:bookmarkEnd w:id="94"/>
      <w:bookmarkStart w:id="95" w:name="_Toc71190821"/>
      <w:bookmarkEnd w:id="95"/>
      <w:bookmarkStart w:id="96" w:name="_Toc71190799"/>
      <w:bookmarkEnd w:id="96"/>
      <w:bookmarkStart w:id="97" w:name="_Toc71191407"/>
      <w:bookmarkEnd w:id="97"/>
      <w:bookmarkStart w:id="98" w:name="_Toc71191435"/>
      <w:bookmarkEnd w:id="98"/>
      <w:bookmarkStart w:id="99" w:name="_Toc71190818"/>
      <w:bookmarkEnd w:id="99"/>
      <w:bookmarkStart w:id="100" w:name="_Toc71191432"/>
      <w:bookmarkEnd w:id="100"/>
      <w:bookmarkStart w:id="101" w:name="_Toc71190803"/>
      <w:bookmarkEnd w:id="101"/>
      <w:bookmarkStart w:id="102" w:name="_Toc71191444"/>
      <w:bookmarkEnd w:id="102"/>
      <w:bookmarkStart w:id="103" w:name="_Toc71191465"/>
      <w:bookmarkEnd w:id="103"/>
      <w:bookmarkStart w:id="104" w:name="_Toc71190860"/>
      <w:bookmarkEnd w:id="104"/>
      <w:bookmarkStart w:id="105" w:name="_Toc71191402"/>
      <w:bookmarkEnd w:id="105"/>
      <w:bookmarkStart w:id="106" w:name="_Toc71190845"/>
      <w:bookmarkEnd w:id="106"/>
      <w:bookmarkStart w:id="107" w:name="_Toc71190858"/>
      <w:bookmarkEnd w:id="107"/>
      <w:bookmarkStart w:id="108" w:name="_Toc71191413"/>
      <w:bookmarkEnd w:id="108"/>
      <w:bookmarkStart w:id="109" w:name="_Toc71190809"/>
      <w:bookmarkEnd w:id="109"/>
      <w:bookmarkStart w:id="110" w:name="_Toc71191452"/>
      <w:bookmarkEnd w:id="110"/>
      <w:bookmarkStart w:id="111" w:name="_Toc71190853"/>
      <w:bookmarkEnd w:id="111"/>
      <w:bookmarkStart w:id="112" w:name="_Toc71191411"/>
      <w:bookmarkEnd w:id="112"/>
      <w:bookmarkStart w:id="113" w:name="_Toc71191428"/>
      <w:bookmarkEnd w:id="113"/>
      <w:bookmarkStart w:id="114" w:name="_Toc71190790"/>
      <w:bookmarkEnd w:id="114"/>
      <w:bookmarkStart w:id="115" w:name="_Toc71190828"/>
      <w:bookmarkEnd w:id="115"/>
      <w:bookmarkStart w:id="116" w:name="_Toc71191442"/>
      <w:bookmarkEnd w:id="116"/>
      <w:bookmarkStart w:id="117" w:name="_Toc71191433"/>
      <w:bookmarkEnd w:id="117"/>
      <w:bookmarkStart w:id="118" w:name="_Toc71191401"/>
      <w:bookmarkEnd w:id="118"/>
      <w:bookmarkStart w:id="119" w:name="_Toc71190831"/>
      <w:bookmarkEnd w:id="119"/>
      <w:bookmarkStart w:id="120" w:name="_Toc71191462"/>
      <w:bookmarkEnd w:id="120"/>
      <w:bookmarkStart w:id="121" w:name="_Toc71190795"/>
      <w:bookmarkEnd w:id="121"/>
      <w:bookmarkStart w:id="122" w:name="_Toc71191464"/>
      <w:bookmarkEnd w:id="122"/>
      <w:bookmarkStart w:id="123" w:name="_Toc71191409"/>
      <w:bookmarkEnd w:id="123"/>
      <w:bookmarkStart w:id="124" w:name="_Toc71190839"/>
      <w:bookmarkEnd w:id="124"/>
      <w:bookmarkStart w:id="125" w:name="_Toc71191408"/>
      <w:bookmarkEnd w:id="125"/>
      <w:bookmarkStart w:id="126" w:name="_Toc71191441"/>
      <w:bookmarkEnd w:id="126"/>
      <w:bookmarkStart w:id="127" w:name="_Toc71191416"/>
      <w:bookmarkEnd w:id="127"/>
      <w:bookmarkStart w:id="128" w:name="_Toc71191467"/>
      <w:bookmarkEnd w:id="128"/>
      <w:bookmarkStart w:id="129" w:name="_Toc71190857"/>
      <w:bookmarkEnd w:id="129"/>
      <w:bookmarkStart w:id="130" w:name="_Toc71191450"/>
      <w:bookmarkEnd w:id="130"/>
      <w:bookmarkStart w:id="131" w:name="_Toc71190842"/>
      <w:bookmarkEnd w:id="131"/>
      <w:bookmarkStart w:id="132" w:name="_Toc71190819"/>
      <w:bookmarkEnd w:id="132"/>
      <w:bookmarkStart w:id="133" w:name="_Toc71190789"/>
      <w:bookmarkEnd w:id="133"/>
      <w:bookmarkStart w:id="134" w:name="_Toc71191415"/>
      <w:bookmarkEnd w:id="134"/>
      <w:bookmarkStart w:id="135" w:name="_Toc71190802"/>
      <w:bookmarkEnd w:id="135"/>
      <w:bookmarkStart w:id="136" w:name="_Toc71191443"/>
      <w:bookmarkEnd w:id="136"/>
      <w:bookmarkStart w:id="137" w:name="_Toc71191463"/>
      <w:bookmarkEnd w:id="137"/>
      <w:bookmarkStart w:id="138" w:name="_Toc71191417"/>
      <w:bookmarkEnd w:id="138"/>
      <w:bookmarkStart w:id="139" w:name="_Toc71191422"/>
      <w:bookmarkEnd w:id="139"/>
      <w:bookmarkStart w:id="140" w:name="_Toc71191469"/>
      <w:bookmarkEnd w:id="140"/>
      <w:bookmarkStart w:id="141" w:name="_Toc71191471"/>
      <w:bookmarkEnd w:id="141"/>
      <w:bookmarkStart w:id="142" w:name="_Toc71191466"/>
      <w:bookmarkEnd w:id="142"/>
      <w:bookmarkStart w:id="143" w:name="_Toc71191448"/>
      <w:bookmarkEnd w:id="143"/>
      <w:bookmarkStart w:id="144" w:name="_Toc71190823"/>
      <w:bookmarkEnd w:id="144"/>
      <w:bookmarkStart w:id="145" w:name="_Toc71191414"/>
      <w:bookmarkEnd w:id="145"/>
      <w:bookmarkStart w:id="146" w:name="_Toc71190817"/>
      <w:bookmarkEnd w:id="146"/>
      <w:bookmarkStart w:id="147" w:name="_Toc71190798"/>
      <w:bookmarkEnd w:id="147"/>
      <w:bookmarkStart w:id="148" w:name="_Toc71190816"/>
      <w:bookmarkEnd w:id="148"/>
      <w:bookmarkStart w:id="149" w:name="_Toc71190788"/>
      <w:bookmarkEnd w:id="149"/>
      <w:bookmarkStart w:id="150" w:name="_Toc71190844"/>
      <w:bookmarkEnd w:id="150"/>
      <w:bookmarkStart w:id="151" w:name="_Toc71190832"/>
      <w:bookmarkEnd w:id="151"/>
      <w:bookmarkStart w:id="152" w:name="_Toc71190850"/>
      <w:bookmarkEnd w:id="152"/>
      <w:bookmarkStart w:id="153" w:name="_Toc71190811"/>
      <w:bookmarkEnd w:id="153"/>
      <w:bookmarkStart w:id="154" w:name="_Toc71190836"/>
      <w:bookmarkEnd w:id="154"/>
      <w:bookmarkStart w:id="155" w:name="_Toc71191424"/>
      <w:bookmarkEnd w:id="155"/>
      <w:bookmarkStart w:id="156" w:name="_Toc71191455"/>
      <w:bookmarkEnd w:id="156"/>
      <w:bookmarkStart w:id="157" w:name="_Toc71191453"/>
      <w:bookmarkEnd w:id="157"/>
      <w:bookmarkStart w:id="158" w:name="_Toc71191440"/>
      <w:bookmarkEnd w:id="158"/>
      <w:bookmarkStart w:id="159" w:name="_Toc71191470"/>
      <w:bookmarkEnd w:id="159"/>
      <w:bookmarkStart w:id="160" w:name="_Toc71190804"/>
      <w:bookmarkEnd w:id="160"/>
      <w:bookmarkStart w:id="161" w:name="_Toc71190785"/>
      <w:bookmarkEnd w:id="161"/>
      <w:bookmarkStart w:id="162" w:name="_Toc71190797"/>
      <w:bookmarkEnd w:id="162"/>
      <w:bookmarkStart w:id="163" w:name="_Toc71191456"/>
      <w:bookmarkEnd w:id="163"/>
      <w:bookmarkStart w:id="164" w:name="_Toc71191423"/>
      <w:bookmarkEnd w:id="164"/>
      <w:bookmarkStart w:id="165" w:name="_Toc71190856"/>
      <w:bookmarkEnd w:id="165"/>
      <w:bookmarkStart w:id="166" w:name="_Toc71191412"/>
      <w:bookmarkEnd w:id="166"/>
      <w:bookmarkStart w:id="167" w:name="_Toc71191397"/>
      <w:bookmarkEnd w:id="167"/>
      <w:bookmarkStart w:id="168" w:name="_Toc71191449"/>
      <w:bookmarkEnd w:id="168"/>
      <w:bookmarkStart w:id="169" w:name="_Toc71191429"/>
      <w:bookmarkEnd w:id="169"/>
      <w:bookmarkStart w:id="170" w:name="_Toc71191398"/>
      <w:bookmarkEnd w:id="170"/>
      <w:bookmarkStart w:id="171" w:name="_Toc71191410"/>
      <w:bookmarkEnd w:id="171"/>
      <w:bookmarkStart w:id="172" w:name="_Toc71191421"/>
      <w:bookmarkEnd w:id="172"/>
      <w:bookmarkStart w:id="173" w:name="_Toc71190843"/>
      <w:bookmarkEnd w:id="173"/>
      <w:bookmarkStart w:id="174" w:name="_Toc71190805"/>
      <w:bookmarkEnd w:id="174"/>
      <w:bookmarkStart w:id="175" w:name="_Toc71191400"/>
      <w:bookmarkEnd w:id="175"/>
      <w:bookmarkStart w:id="176" w:name="_Toc71190841"/>
      <w:bookmarkEnd w:id="176"/>
      <w:bookmarkStart w:id="177" w:name="_Toc71190829"/>
      <w:bookmarkEnd w:id="177"/>
      <w:bookmarkStart w:id="178" w:name="_Toc71190827"/>
      <w:bookmarkEnd w:id="178"/>
      <w:bookmarkStart w:id="179" w:name="_Toc71190852"/>
      <w:bookmarkEnd w:id="179"/>
      <w:bookmarkStart w:id="180" w:name="_Toc71190851"/>
      <w:bookmarkEnd w:id="180"/>
      <w:bookmarkStart w:id="181" w:name="_Toc71191430"/>
      <w:bookmarkEnd w:id="181"/>
      <w:bookmarkStart w:id="182" w:name="_Toc71191454"/>
      <w:bookmarkEnd w:id="182"/>
      <w:bookmarkStart w:id="183" w:name="_Toc71190855"/>
      <w:bookmarkEnd w:id="183"/>
      <w:bookmarkStart w:id="184" w:name="_Toc71190859"/>
      <w:bookmarkEnd w:id="184"/>
      <w:bookmarkStart w:id="185" w:name="_Toc71191399"/>
      <w:bookmarkEnd w:id="185"/>
      <w:bookmarkStart w:id="186" w:name="_Toc71190837"/>
      <w:bookmarkEnd w:id="186"/>
      <w:bookmarkStart w:id="187" w:name="_Toc71190820"/>
      <w:bookmarkEnd w:id="187"/>
      <w:bookmarkStart w:id="188" w:name="_Toc71190838"/>
      <w:bookmarkEnd w:id="188"/>
      <w:bookmarkStart w:id="189" w:name="_Toc71191468"/>
      <w:bookmarkEnd w:id="189"/>
      <w:bookmarkStart w:id="190" w:name="_Toc71190812"/>
      <w:bookmarkEnd w:id="190"/>
      <w:bookmarkStart w:id="191" w:name="_Toc71190787"/>
      <w:bookmarkEnd w:id="191"/>
      <w:bookmarkStart w:id="192" w:name="_Toc71190800"/>
      <w:bookmarkEnd w:id="192"/>
      <w:bookmarkStart w:id="193" w:name="_Toc71190854"/>
      <w:bookmarkEnd w:id="193"/>
      <w:bookmarkStart w:id="194" w:name="_Toc71190801"/>
      <w:bookmarkEnd w:id="194"/>
      <w:bookmarkStart w:id="195" w:name="_Toc71191457"/>
      <w:bookmarkEnd w:id="195"/>
      <w:bookmarkStart w:id="196" w:name="_Toc71190810"/>
      <w:bookmarkEnd w:id="196"/>
      <w:bookmarkStart w:id="197" w:name="_Toc71190796"/>
      <w:bookmarkEnd w:id="197"/>
      <w:bookmarkStart w:id="198" w:name="_Toc71190786"/>
      <w:bookmarkEnd w:id="198"/>
      <w:bookmarkStart w:id="199" w:name="_Toc71190830"/>
      <w:bookmarkEnd w:id="199"/>
      <w:bookmarkStart w:id="200" w:name="_Toc71191472"/>
      <w:bookmarkEnd w:id="200"/>
      <w:bookmarkStart w:id="201" w:name="_Toc71191431"/>
      <w:bookmarkEnd w:id="201"/>
      <w:bookmarkStart w:id="202" w:name="_Toc71190840"/>
      <w:bookmarkEnd w:id="202"/>
      <w:bookmarkStart w:id="203" w:name="_Toc71191451"/>
      <w:bookmarkEnd w:id="203"/>
      <w:bookmarkStart w:id="204" w:name="_Toc71191473"/>
      <w:bookmarkStart w:id="205" w:name="_Toc77763480"/>
      <w:bookmarkStart w:id="206" w:name="_Toc104109429"/>
      <w:r>
        <w:rPr>
          <w:rFonts w:hint="eastAsia"/>
          <w:lang w:bidi="en-US"/>
        </w:rPr>
        <w:t>采用空气吸泥机时，可按下列公式进行计算，确定</w:t>
      </w:r>
      <w:r>
        <w:rPr>
          <w:rFonts w:hint="eastAsia" w:cs="Times New Roman"/>
          <w:szCs w:val="24"/>
          <w:lang w:bidi="en-US"/>
        </w:rPr>
        <w:t>吸泥管</w:t>
      </w:r>
      <w:r>
        <w:rPr>
          <w:rFonts w:hint="eastAsia"/>
          <w:lang w:bidi="en-US"/>
        </w:rPr>
        <w:t>截面积、空气吸泥装置所需压缩空气压力、排泥管道截面积、供气管路截面积以及空压机数量等参数。</w:t>
      </w:r>
      <w:bookmarkEnd w:id="204"/>
      <w:bookmarkEnd w:id="205"/>
      <w:bookmarkEnd w:id="206"/>
    </w:p>
    <w:tbl>
      <w:tblPr>
        <w:tblStyle w:val="2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54"/>
        <w:gridCol w:w="14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54" w:type="dxa"/>
          </w:tcPr>
          <w:p>
            <w:pPr>
              <w:pStyle w:val="59"/>
              <w:rPr>
                <w:szCs w:val="24"/>
              </w:rPr>
            </w:pPr>
            <w:r>
              <w:rPr>
                <w:lang w:bidi="en-US"/>
              </w:rPr>
              <w:object>
                <v:shape id="_x0000_i1062" o:spt="75" type="#_x0000_t75" style="height:34.65pt;width:89pt;" o:ole="t" filled="f" o:preferrelative="t" stroked="f" coordsize="21600,21600">
                  <v:path/>
                  <v:fill on="f" focussize="0,0"/>
                  <v:stroke on="f" joinstyle="miter"/>
                  <v:imagedata r:id="rId97" o:title=""/>
                  <o:lock v:ext="edit" aspectratio="t"/>
                  <w10:wrap type="none"/>
                  <w10:anchorlock/>
                </v:shape>
                <o:OLEObject Type="Embed" ProgID="Equation.DSMT4" ShapeID="_x0000_i1062" DrawAspect="Content" ObjectID="_1468075762" r:id="rId96">
                  <o:LockedField>false</o:LockedField>
                </o:OLEObject>
              </w:object>
            </w:r>
          </w:p>
        </w:tc>
        <w:tc>
          <w:tcPr>
            <w:tcW w:w="1468" w:type="dxa"/>
            <w:vAlign w:val="center"/>
          </w:tcPr>
          <w:p>
            <w:pPr>
              <w:pStyle w:val="59"/>
              <w:rPr>
                <w:szCs w:val="24"/>
              </w:rPr>
            </w:pPr>
            <w:r>
              <w:rPr>
                <w:rFonts w:hint="eastAsia"/>
                <w:szCs w:val="24"/>
              </w:rPr>
              <w:t>（</w:t>
            </w:r>
            <w:r>
              <w:rPr>
                <w:szCs w:val="24"/>
              </w:rPr>
              <w:t>4.6.2</w:t>
            </w:r>
            <w:r>
              <w:rPr>
                <w:rFonts w:hint="eastAsia"/>
                <w:szCs w:val="24"/>
              </w:rPr>
              <w:t>-</w:t>
            </w:r>
            <w:r>
              <w:rPr>
                <w:szCs w:val="24"/>
              </w:rPr>
              <w:t>1</w:t>
            </w:r>
            <w:r>
              <w:rPr>
                <w:rFonts w:hint="eastAsia"/>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54" w:type="dxa"/>
          </w:tcPr>
          <w:p>
            <w:pPr>
              <w:pStyle w:val="59"/>
              <w:rPr>
                <w:lang w:bidi="en-US"/>
              </w:rPr>
            </w:pPr>
            <w:r>
              <w:rPr>
                <w:lang w:bidi="en-US"/>
              </w:rPr>
              <w:object>
                <v:shape id="_x0000_i1063" o:spt="75" type="#_x0000_t75" style="height:34.65pt;width:86.25pt;" o:ole="t" filled="f" o:preferrelative="t" stroked="f" coordsize="21600,21600">
                  <v:path/>
                  <v:fill on="f" focussize="0,0"/>
                  <v:stroke on="f" joinstyle="miter"/>
                  <v:imagedata r:id="rId99" o:title=""/>
                  <o:lock v:ext="edit" aspectratio="t"/>
                  <w10:wrap type="none"/>
                  <w10:anchorlock/>
                </v:shape>
                <o:OLEObject Type="Embed" ProgID="Equation.DSMT4" ShapeID="_x0000_i1063" DrawAspect="Content" ObjectID="_1468075763" r:id="rId98">
                  <o:LockedField>false</o:LockedField>
                </o:OLEObject>
              </w:object>
            </w:r>
          </w:p>
        </w:tc>
        <w:tc>
          <w:tcPr>
            <w:tcW w:w="1468" w:type="dxa"/>
            <w:vAlign w:val="center"/>
          </w:tcPr>
          <w:p>
            <w:pPr>
              <w:pStyle w:val="59"/>
              <w:rPr>
                <w:szCs w:val="24"/>
              </w:rPr>
            </w:pPr>
            <w:r>
              <w:rPr>
                <w:rFonts w:hint="eastAsia"/>
                <w:szCs w:val="24"/>
              </w:rPr>
              <w:t>（</w:t>
            </w:r>
            <w:r>
              <w:rPr>
                <w:szCs w:val="24"/>
              </w:rPr>
              <w:t>4.6.2</w:t>
            </w:r>
            <w:r>
              <w:rPr>
                <w:rFonts w:hint="eastAsia"/>
                <w:szCs w:val="24"/>
              </w:rPr>
              <w:t>-</w:t>
            </w:r>
            <w:r>
              <w:rPr>
                <w:szCs w:val="24"/>
              </w:rPr>
              <w:t>2</w:t>
            </w:r>
            <w:r>
              <w:rPr>
                <w:rFonts w:hint="eastAsia"/>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54" w:type="dxa"/>
          </w:tcPr>
          <w:p>
            <w:pPr>
              <w:pStyle w:val="59"/>
              <w:rPr>
                <w:lang w:bidi="en-US"/>
              </w:rPr>
            </w:pPr>
            <w:r>
              <w:rPr>
                <w:position w:val="-32"/>
                <w:lang w:bidi="en-US"/>
              </w:rPr>
              <w:object>
                <v:shape id="_x0000_i1064" o:spt="75" type="#_x0000_t75" style="height:34.65pt;width:65.9pt;" o:ole="t" filled="f" o:preferrelative="t" stroked="f" coordsize="21600,21600">
                  <v:path/>
                  <v:fill on="f" focussize="0,0"/>
                  <v:stroke on="f" joinstyle="miter"/>
                  <v:imagedata r:id="rId101" o:title=""/>
                  <o:lock v:ext="edit" aspectratio="t"/>
                  <w10:wrap type="none"/>
                  <w10:anchorlock/>
                </v:shape>
                <o:OLEObject Type="Embed" ProgID="Equation.DSMT4" ShapeID="_x0000_i1064" DrawAspect="Content" ObjectID="_1468075764" r:id="rId100">
                  <o:LockedField>false</o:LockedField>
                </o:OLEObject>
              </w:object>
            </w:r>
          </w:p>
        </w:tc>
        <w:tc>
          <w:tcPr>
            <w:tcW w:w="1468" w:type="dxa"/>
            <w:vAlign w:val="center"/>
          </w:tcPr>
          <w:p>
            <w:pPr>
              <w:pStyle w:val="59"/>
              <w:rPr>
                <w:szCs w:val="24"/>
              </w:rPr>
            </w:pPr>
            <w:r>
              <w:rPr>
                <w:rFonts w:hint="eastAsia"/>
                <w:szCs w:val="24"/>
              </w:rPr>
              <w:t>（</w:t>
            </w:r>
            <w:r>
              <w:rPr>
                <w:szCs w:val="24"/>
              </w:rPr>
              <w:t>4.6.2</w:t>
            </w:r>
            <w:r>
              <w:rPr>
                <w:rFonts w:hint="eastAsia"/>
                <w:szCs w:val="24"/>
              </w:rPr>
              <w:t>-</w:t>
            </w:r>
            <w:r>
              <w:rPr>
                <w:szCs w:val="24"/>
              </w:rPr>
              <w:t>3</w:t>
            </w:r>
            <w:r>
              <w:rPr>
                <w:rFonts w:hint="eastAsia"/>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54" w:type="dxa"/>
          </w:tcPr>
          <w:p>
            <w:pPr>
              <w:pStyle w:val="59"/>
              <w:rPr>
                <w:lang w:bidi="en-US"/>
              </w:rPr>
            </w:pPr>
            <w:r>
              <w:rPr>
                <w:position w:val="-12"/>
                <w:lang w:bidi="en-US"/>
              </w:rPr>
              <w:object>
                <v:shape id="_x0000_i1065" o:spt="75" type="#_x0000_t75" style="height:19pt;width:64.55pt;" o:ole="t" filled="f" o:preferrelative="t" stroked="f" coordsize="21600,21600">
                  <v:path/>
                  <v:fill on="f" focussize="0,0"/>
                  <v:stroke on="f" joinstyle="miter"/>
                  <v:imagedata r:id="rId103" o:title=""/>
                  <o:lock v:ext="edit" aspectratio="t"/>
                  <w10:wrap type="none"/>
                  <w10:anchorlock/>
                </v:shape>
                <o:OLEObject Type="Embed" ProgID="Equation.DSMT4" ShapeID="_x0000_i1065" DrawAspect="Content" ObjectID="_1468075765" r:id="rId102">
                  <o:LockedField>false</o:LockedField>
                </o:OLEObject>
              </w:object>
            </w:r>
          </w:p>
        </w:tc>
        <w:tc>
          <w:tcPr>
            <w:tcW w:w="1468" w:type="dxa"/>
            <w:vAlign w:val="center"/>
          </w:tcPr>
          <w:p>
            <w:pPr>
              <w:pStyle w:val="59"/>
              <w:rPr>
                <w:szCs w:val="24"/>
              </w:rPr>
            </w:pPr>
            <w:r>
              <w:rPr>
                <w:rFonts w:hint="eastAsia"/>
                <w:szCs w:val="24"/>
              </w:rPr>
              <w:t>（</w:t>
            </w:r>
            <w:r>
              <w:rPr>
                <w:szCs w:val="24"/>
              </w:rPr>
              <w:t>4.6.2</w:t>
            </w:r>
            <w:r>
              <w:rPr>
                <w:rFonts w:hint="eastAsia"/>
                <w:szCs w:val="24"/>
              </w:rPr>
              <w:t>-</w:t>
            </w:r>
            <w:r>
              <w:rPr>
                <w:szCs w:val="24"/>
              </w:rPr>
              <w:t>4</w:t>
            </w:r>
            <w:r>
              <w:rPr>
                <w:rFonts w:hint="eastAsia"/>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54" w:type="dxa"/>
          </w:tcPr>
          <w:p>
            <w:pPr>
              <w:pStyle w:val="59"/>
              <w:rPr>
                <w:lang w:bidi="en-US"/>
              </w:rPr>
            </w:pPr>
            <w:r>
              <w:rPr>
                <w:position w:val="-54"/>
                <w:lang w:bidi="en-US"/>
              </w:rPr>
              <w:object>
                <v:shape id="_x0000_i1066" o:spt="75" type="#_x0000_t75" style="height:47.55pt;width:91pt;" o:ole="t" filled="f" o:preferrelative="t" stroked="f" coordsize="21600,21600">
                  <v:path/>
                  <v:fill on="f" focussize="0,0"/>
                  <v:stroke on="f" joinstyle="miter"/>
                  <v:imagedata r:id="rId105" o:title=""/>
                  <o:lock v:ext="edit" aspectratio="t"/>
                  <w10:wrap type="none"/>
                  <w10:anchorlock/>
                </v:shape>
                <o:OLEObject Type="Embed" ProgID="Equation.DSMT4" ShapeID="_x0000_i1066" DrawAspect="Content" ObjectID="_1468075766" r:id="rId104">
                  <o:LockedField>false</o:LockedField>
                </o:OLEObject>
              </w:object>
            </w:r>
          </w:p>
        </w:tc>
        <w:tc>
          <w:tcPr>
            <w:tcW w:w="1468" w:type="dxa"/>
            <w:vAlign w:val="center"/>
          </w:tcPr>
          <w:p>
            <w:pPr>
              <w:pStyle w:val="59"/>
              <w:rPr>
                <w:szCs w:val="24"/>
              </w:rPr>
            </w:pPr>
            <w:r>
              <w:rPr>
                <w:rFonts w:hint="eastAsia"/>
                <w:szCs w:val="24"/>
              </w:rPr>
              <w:t>（</w:t>
            </w:r>
            <w:r>
              <w:rPr>
                <w:szCs w:val="24"/>
              </w:rPr>
              <w:t>4.6.2</w:t>
            </w:r>
            <w:r>
              <w:rPr>
                <w:rFonts w:hint="eastAsia"/>
                <w:szCs w:val="24"/>
              </w:rPr>
              <w:t>-</w:t>
            </w:r>
            <w:r>
              <w:rPr>
                <w:szCs w:val="24"/>
              </w:rPr>
              <w:t>5</w:t>
            </w:r>
            <w:r>
              <w:rPr>
                <w:rFonts w:hint="eastAsia"/>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54" w:type="dxa"/>
          </w:tcPr>
          <w:p>
            <w:pPr>
              <w:pStyle w:val="59"/>
              <w:rPr>
                <w:lang w:bidi="en-US"/>
              </w:rPr>
            </w:pPr>
            <w:r>
              <w:rPr>
                <w:position w:val="-24"/>
                <w:lang w:bidi="en-US"/>
              </w:rPr>
              <w:object>
                <v:shape id="_x0000_i1067" o:spt="75" type="#_x0000_t75" style="height:31.9pt;width:96.45pt;" o:ole="t" filled="f" o:preferrelative="t" stroked="f" coordsize="21600,21600">
                  <v:path/>
                  <v:fill on="f" focussize="0,0"/>
                  <v:stroke on="f" joinstyle="miter"/>
                  <v:imagedata r:id="rId107" o:title=""/>
                  <o:lock v:ext="edit" aspectratio="t"/>
                  <w10:wrap type="none"/>
                  <w10:anchorlock/>
                </v:shape>
                <o:OLEObject Type="Embed" ProgID="Equation.DSMT4" ShapeID="_x0000_i1067" DrawAspect="Content" ObjectID="_1468075767" r:id="rId106">
                  <o:LockedField>false</o:LockedField>
                </o:OLEObject>
              </w:object>
            </w:r>
          </w:p>
        </w:tc>
        <w:tc>
          <w:tcPr>
            <w:tcW w:w="1468" w:type="dxa"/>
            <w:vAlign w:val="center"/>
          </w:tcPr>
          <w:p>
            <w:pPr>
              <w:pStyle w:val="59"/>
              <w:rPr>
                <w:szCs w:val="24"/>
              </w:rPr>
            </w:pPr>
            <w:r>
              <w:rPr>
                <w:rFonts w:hint="eastAsia"/>
                <w:szCs w:val="24"/>
              </w:rPr>
              <w:t>（</w:t>
            </w:r>
            <w:r>
              <w:rPr>
                <w:szCs w:val="24"/>
              </w:rPr>
              <w:t>4.6.2</w:t>
            </w:r>
            <w:r>
              <w:rPr>
                <w:rFonts w:hint="eastAsia"/>
                <w:szCs w:val="24"/>
              </w:rPr>
              <w:t>-</w:t>
            </w:r>
            <w:r>
              <w:rPr>
                <w:szCs w:val="24"/>
              </w:rPr>
              <w:t>6</w:t>
            </w:r>
            <w:r>
              <w:rPr>
                <w:rFonts w:hint="eastAsia"/>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54" w:type="dxa"/>
          </w:tcPr>
          <w:p>
            <w:pPr>
              <w:pStyle w:val="59"/>
              <w:rPr>
                <w:lang w:bidi="en-US"/>
              </w:rPr>
            </w:pPr>
            <w:r>
              <w:rPr>
                <w:position w:val="-32"/>
                <w:lang w:bidi="en-US"/>
              </w:rPr>
              <w:object>
                <v:shape id="_x0000_i1068" o:spt="75" type="#_x0000_t75" style="height:34.65pt;width:119.55pt;" o:ole="t" filled="f" o:preferrelative="t" stroked="f" coordsize="21600,21600">
                  <v:path/>
                  <v:fill on="f" focussize="0,0"/>
                  <v:stroke on="f" joinstyle="miter"/>
                  <v:imagedata r:id="rId109" o:title=""/>
                  <o:lock v:ext="edit" aspectratio="t"/>
                  <w10:wrap type="none"/>
                  <w10:anchorlock/>
                </v:shape>
                <o:OLEObject Type="Embed" ProgID="Equation.DSMT4" ShapeID="_x0000_i1068" DrawAspect="Content" ObjectID="_1468075768" r:id="rId108">
                  <o:LockedField>false</o:LockedField>
                </o:OLEObject>
              </w:object>
            </w:r>
          </w:p>
        </w:tc>
        <w:tc>
          <w:tcPr>
            <w:tcW w:w="1468" w:type="dxa"/>
            <w:vAlign w:val="center"/>
          </w:tcPr>
          <w:p>
            <w:pPr>
              <w:pStyle w:val="59"/>
              <w:rPr>
                <w:szCs w:val="24"/>
              </w:rPr>
            </w:pPr>
            <w:r>
              <w:rPr>
                <w:rFonts w:hint="eastAsia"/>
                <w:szCs w:val="24"/>
              </w:rPr>
              <w:t>（</w:t>
            </w:r>
            <w:r>
              <w:rPr>
                <w:szCs w:val="24"/>
              </w:rPr>
              <w:t>4.6.2</w:t>
            </w:r>
            <w:r>
              <w:rPr>
                <w:rFonts w:hint="eastAsia"/>
                <w:szCs w:val="24"/>
              </w:rPr>
              <w:t>-</w:t>
            </w:r>
            <w:r>
              <w:rPr>
                <w:szCs w:val="24"/>
              </w:rPr>
              <w:t>7</w:t>
            </w:r>
            <w:r>
              <w:rPr>
                <w:rFonts w:hint="eastAsia"/>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54" w:type="dxa"/>
          </w:tcPr>
          <w:p>
            <w:pPr>
              <w:pStyle w:val="59"/>
              <w:rPr>
                <w:lang w:bidi="en-US"/>
              </w:rPr>
            </w:pPr>
            <w:r>
              <w:rPr>
                <w:position w:val="-32"/>
                <w:lang w:bidi="en-US"/>
              </w:rPr>
              <w:object>
                <v:shape id="_x0000_i1069" o:spt="75" type="#_x0000_t75" style="height:34.65pt;width:119.55pt;" o:ole="t" filled="f" o:preferrelative="t" stroked="f" coordsize="21600,21600">
                  <v:path/>
                  <v:fill on="f" focussize="0,0"/>
                  <v:stroke on="f" joinstyle="miter"/>
                  <v:imagedata r:id="rId111" o:title=""/>
                  <o:lock v:ext="edit" aspectratio="t"/>
                  <w10:wrap type="none"/>
                  <w10:anchorlock/>
                </v:shape>
                <o:OLEObject Type="Embed" ProgID="Equation.DSMT4" ShapeID="_x0000_i1069" DrawAspect="Content" ObjectID="_1468075769" r:id="rId110">
                  <o:LockedField>false</o:LockedField>
                </o:OLEObject>
              </w:object>
            </w:r>
          </w:p>
        </w:tc>
        <w:tc>
          <w:tcPr>
            <w:tcW w:w="1468" w:type="dxa"/>
            <w:vAlign w:val="center"/>
          </w:tcPr>
          <w:p>
            <w:pPr>
              <w:pStyle w:val="59"/>
              <w:rPr>
                <w:szCs w:val="24"/>
              </w:rPr>
            </w:pPr>
            <w:r>
              <w:rPr>
                <w:rFonts w:hint="eastAsia"/>
                <w:szCs w:val="24"/>
              </w:rPr>
              <w:t>（</w:t>
            </w:r>
            <w:r>
              <w:rPr>
                <w:szCs w:val="24"/>
              </w:rPr>
              <w:t>4.6.2</w:t>
            </w:r>
            <w:r>
              <w:rPr>
                <w:rFonts w:hint="eastAsia"/>
                <w:szCs w:val="24"/>
              </w:rPr>
              <w:t>-</w:t>
            </w:r>
            <w:r>
              <w:rPr>
                <w:szCs w:val="24"/>
              </w:rPr>
              <w:t>8</w:t>
            </w:r>
            <w:r>
              <w:rPr>
                <w:rFonts w:hint="eastAsia"/>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54" w:type="dxa"/>
          </w:tcPr>
          <w:p>
            <w:pPr>
              <w:pStyle w:val="59"/>
              <w:rPr>
                <w:lang w:bidi="en-US"/>
              </w:rPr>
            </w:pPr>
            <w:r>
              <w:rPr>
                <w:position w:val="-14"/>
                <w:lang w:bidi="en-US"/>
              </w:rPr>
              <w:object>
                <v:shape id="_x0000_i1070" o:spt="75" type="#_x0000_t75" style="height:19pt;width:127pt;" o:ole="t" filled="f" o:preferrelative="t" stroked="f" coordsize="21600,21600">
                  <v:path/>
                  <v:fill on="f" focussize="0,0"/>
                  <v:stroke on="f" joinstyle="miter"/>
                  <v:imagedata r:id="rId113" o:title=""/>
                  <o:lock v:ext="edit" aspectratio="t"/>
                  <w10:wrap type="none"/>
                  <w10:anchorlock/>
                </v:shape>
                <o:OLEObject Type="Embed" ProgID="Equation.DSMT4" ShapeID="_x0000_i1070" DrawAspect="Content" ObjectID="_1468075770" r:id="rId112">
                  <o:LockedField>false</o:LockedField>
                </o:OLEObject>
              </w:object>
            </w:r>
          </w:p>
        </w:tc>
        <w:tc>
          <w:tcPr>
            <w:tcW w:w="1468" w:type="dxa"/>
            <w:vAlign w:val="center"/>
          </w:tcPr>
          <w:p>
            <w:pPr>
              <w:pStyle w:val="59"/>
              <w:rPr>
                <w:szCs w:val="24"/>
              </w:rPr>
            </w:pPr>
            <w:r>
              <w:rPr>
                <w:rFonts w:hint="eastAsia"/>
                <w:szCs w:val="24"/>
              </w:rPr>
              <w:t>（</w:t>
            </w:r>
            <w:r>
              <w:rPr>
                <w:szCs w:val="24"/>
              </w:rPr>
              <w:t>4.6.2</w:t>
            </w:r>
            <w:r>
              <w:rPr>
                <w:rFonts w:hint="eastAsia"/>
                <w:szCs w:val="24"/>
              </w:rPr>
              <w:t>-</w:t>
            </w:r>
            <w:r>
              <w:rPr>
                <w:szCs w:val="24"/>
              </w:rPr>
              <w:t>9</w:t>
            </w:r>
            <w:r>
              <w:rPr>
                <w:rFonts w:hint="eastAsia"/>
                <w:szCs w:val="24"/>
              </w:rPr>
              <w:t>）</w:t>
            </w:r>
          </w:p>
        </w:tc>
      </w:tr>
    </w:tbl>
    <w:p>
      <w:pPr>
        <w:ind w:firstLine="0" w:firstLineChars="0"/>
        <w:rPr>
          <w:lang w:bidi="en-US"/>
        </w:rPr>
      </w:pPr>
      <w:r>
        <w:rPr>
          <w:rFonts w:hint="eastAsia"/>
          <w:lang w:bidi="en-US"/>
        </w:rPr>
        <w:t>式中：</w:t>
      </w:r>
    </w:p>
    <w:p>
      <w:pPr>
        <w:ind w:firstLine="480"/>
        <w:rPr>
          <w:lang w:bidi="en-US"/>
        </w:rPr>
      </w:pPr>
      <w:r>
        <w:rPr>
          <w:position w:val="-12"/>
          <w:lang w:bidi="en-US"/>
        </w:rPr>
        <w:object>
          <v:shape id="_x0000_i1071" o:spt="75" type="#_x0000_t75" style="height:19pt;width:19pt;" o:ole="t" filled="f" o:preferrelative="t" stroked="f" coordsize="21600,21600">
            <v:path/>
            <v:fill on="f" focussize="0,0"/>
            <v:stroke on="f" joinstyle="miter"/>
            <v:imagedata r:id="rId115" o:title=""/>
            <o:lock v:ext="edit" aspectratio="t"/>
            <w10:wrap type="none"/>
            <w10:anchorlock/>
          </v:shape>
          <o:OLEObject Type="Embed" ProgID="Equation.DSMT4" ShapeID="_x0000_i1071" DrawAspect="Content" ObjectID="_1468075771" r:id="rId114">
            <o:LockedField>false</o:LockedField>
          </o:OLEObject>
        </w:object>
      </w:r>
      <w:r>
        <w:rPr>
          <w:rFonts w:cs="Times New Roman"/>
          <w:sz w:val="21"/>
        </w:rPr>
        <w:t>——</w:t>
      </w:r>
      <w:r>
        <w:rPr>
          <w:rFonts w:hint="eastAsia"/>
          <w:lang w:bidi="en-US"/>
        </w:rPr>
        <w:t>按天然状态土体积每</w:t>
      </w:r>
      <w:r>
        <w:rPr>
          <w:lang w:bidi="en-US"/>
        </w:rPr>
        <w:t>1h</w:t>
      </w:r>
      <w:r>
        <w:rPr>
          <w:rFonts w:hint="eastAsia"/>
          <w:lang w:bidi="en-US"/>
        </w:rPr>
        <w:t>的净出土量（</w:t>
      </w:r>
      <w:r>
        <w:rPr>
          <w:lang w:bidi="en-US"/>
        </w:rPr>
        <w:t>m</w:t>
      </w:r>
      <w:r>
        <w:rPr>
          <w:vertAlign w:val="superscript"/>
          <w:lang w:bidi="en-US"/>
        </w:rPr>
        <w:t>3</w:t>
      </w:r>
      <w:r>
        <w:rPr>
          <w:lang w:bidi="en-US"/>
        </w:rPr>
        <w:t>/h</w:t>
      </w:r>
      <w:r>
        <w:rPr>
          <w:rFonts w:hint="eastAsia"/>
          <w:lang w:bidi="en-US"/>
        </w:rPr>
        <w:t>）；</w:t>
      </w:r>
    </w:p>
    <w:p>
      <w:pPr>
        <w:ind w:firstLine="480"/>
        <w:rPr>
          <w:lang w:bidi="en-US"/>
        </w:rPr>
      </w:pPr>
      <w:r>
        <w:rPr>
          <w:position w:val="-12"/>
          <w:lang w:bidi="en-US"/>
        </w:rPr>
        <w:object>
          <v:shape id="_x0000_i1072" o:spt="75" type="#_x0000_t75" style="height:19pt;width:12.25pt;" o:ole="t" filled="f" o:preferrelative="t" stroked="f" coordsize="21600,21600">
            <v:path/>
            <v:fill on="f" focussize="0,0"/>
            <v:stroke on="f" joinstyle="miter"/>
            <v:imagedata r:id="rId117" o:title=""/>
            <o:lock v:ext="edit" aspectratio="t"/>
            <w10:wrap type="none"/>
            <w10:anchorlock/>
          </v:shape>
          <o:OLEObject Type="Embed" ProgID="Equation.DSMT4" ShapeID="_x0000_i1072" DrawAspect="Content" ObjectID="_1468075772" r:id="rId116">
            <o:LockedField>false</o:LockedField>
          </o:OLEObject>
        </w:object>
      </w:r>
      <w:r>
        <w:rPr>
          <w:rFonts w:cs="Times New Roman"/>
          <w:sz w:val="21"/>
        </w:rPr>
        <w:t>——</w:t>
      </w:r>
      <w:r>
        <w:rPr>
          <w:rFonts w:hint="eastAsia"/>
          <w:lang w:bidi="en-US"/>
        </w:rPr>
        <w:t>土在天然状态下的相对密度；</w:t>
      </w:r>
    </w:p>
    <w:p>
      <w:pPr>
        <w:ind w:firstLine="480"/>
        <w:rPr>
          <w:lang w:bidi="en-US"/>
        </w:rPr>
      </w:pPr>
      <w:r>
        <w:rPr>
          <w:position w:val="-12"/>
          <w:lang w:bidi="en-US"/>
        </w:rPr>
        <w:object>
          <v:shape id="_x0000_i1073" o:spt="75" type="#_x0000_t75" style="height:19pt;width:13.6pt;" o:ole="t" filled="f" o:preferrelative="t" stroked="f" coordsize="21600,21600">
            <v:path/>
            <v:fill on="f" focussize="0,0"/>
            <v:stroke on="f" joinstyle="miter"/>
            <v:imagedata r:id="rId119" o:title=""/>
            <o:lock v:ext="edit" aspectratio="t"/>
            <w10:wrap type="none"/>
            <w10:anchorlock/>
          </v:shape>
          <o:OLEObject Type="Embed" ProgID="Equation.DSMT4" ShapeID="_x0000_i1073" DrawAspect="Content" ObjectID="_1468075773" r:id="rId118">
            <o:LockedField>false</o:LockedField>
          </o:OLEObject>
        </w:object>
      </w:r>
      <w:r>
        <w:rPr>
          <w:rFonts w:cs="Times New Roman"/>
          <w:sz w:val="21"/>
        </w:rPr>
        <w:t>——</w:t>
      </w:r>
      <w:r>
        <w:rPr>
          <w:rFonts w:hint="eastAsia"/>
          <w:lang w:bidi="en-US"/>
        </w:rPr>
        <w:t>土颗粒相对密度，取</w:t>
      </w:r>
      <w:r>
        <w:rPr>
          <w:position w:val="-12"/>
          <w:lang w:bidi="en-US"/>
        </w:rPr>
        <w:object>
          <v:shape id="_x0000_i1074" o:spt="75" type="#_x0000_t75" style="height:19pt;width:13.6pt;" o:ole="t" filled="f" o:preferrelative="t" stroked="f" coordsize="21600,21600">
            <v:path/>
            <v:fill on="f" focussize="0,0"/>
            <v:stroke on="f" joinstyle="miter"/>
            <v:imagedata r:id="rId119" o:title=""/>
            <o:lock v:ext="edit" aspectratio="t"/>
            <w10:wrap type="none"/>
            <w10:anchorlock/>
          </v:shape>
          <o:OLEObject Type="Embed" ProgID="Equation.DSMT4" ShapeID="_x0000_i1074" DrawAspect="Content" ObjectID="_1468075774" r:id="rId120">
            <o:LockedField>false</o:LockedField>
          </o:OLEObject>
        </w:object>
      </w:r>
      <w:r>
        <w:rPr>
          <w:lang w:bidi="en-US"/>
        </w:rPr>
        <w:t>=2.6</w:t>
      </w:r>
      <w:r>
        <w:rPr>
          <w:rFonts w:hint="eastAsia"/>
          <w:lang w:bidi="en-US"/>
        </w:rPr>
        <w:t>；</w:t>
      </w:r>
    </w:p>
    <w:p>
      <w:pPr>
        <w:ind w:firstLine="480"/>
        <w:rPr>
          <w:i/>
          <w:lang w:bidi="en-US"/>
        </w:rPr>
      </w:pPr>
      <w:r>
        <w:rPr>
          <w:i/>
          <w:lang w:bidi="en-US"/>
        </w:rPr>
        <w:t>w</w:t>
      </w:r>
      <w:r>
        <w:rPr>
          <w:rFonts w:cs="Times New Roman"/>
          <w:sz w:val="21"/>
        </w:rPr>
        <w:t>——</w:t>
      </w:r>
      <w:r>
        <w:rPr>
          <w:rFonts w:hint="eastAsia"/>
          <w:lang w:bidi="en-US"/>
        </w:rPr>
        <w:t>每立方米天然状态的土成为泥浆所需的水量（</w:t>
      </w:r>
      <w:r>
        <w:rPr>
          <w:lang w:bidi="en-US"/>
        </w:rPr>
        <w:t>m</w:t>
      </w:r>
      <w:r>
        <w:rPr>
          <w:vertAlign w:val="superscript"/>
          <w:lang w:bidi="en-US"/>
        </w:rPr>
        <w:t>3</w:t>
      </w:r>
      <w:r>
        <w:rPr>
          <w:lang w:bidi="en-US"/>
        </w:rPr>
        <w:t>/m</w:t>
      </w:r>
      <w:r>
        <w:rPr>
          <w:vertAlign w:val="superscript"/>
          <w:lang w:bidi="en-US"/>
        </w:rPr>
        <w:t>3</w:t>
      </w:r>
      <w:r>
        <w:rPr>
          <w:rFonts w:hint="eastAsia"/>
          <w:lang w:bidi="en-US"/>
        </w:rPr>
        <w:t>）；</w:t>
      </w:r>
    </w:p>
    <w:p>
      <w:pPr>
        <w:spacing w:line="240" w:lineRule="auto"/>
        <w:ind w:firstLine="480"/>
        <w:rPr>
          <w:lang w:bidi="en-US"/>
        </w:rPr>
      </w:pPr>
      <w:r>
        <w:rPr>
          <w:lang w:bidi="en-US"/>
        </w:rPr>
        <w:object>
          <v:shape id="_x0000_i1075" o:spt="75" type="#_x0000_t75" style="height:16.3pt;width:12.25pt;" o:ole="t" filled="f" o:preferrelative="t" stroked="f" coordsize="21600,21600">
            <v:path/>
            <v:fill on="f" focussize="0,0"/>
            <v:stroke on="f" joinstyle="miter"/>
            <v:imagedata r:id="rId122" o:title=""/>
            <o:lock v:ext="edit" aspectratio="t"/>
            <w10:wrap type="none"/>
            <w10:anchorlock/>
          </v:shape>
          <o:OLEObject Type="Embed" ProgID="Equation.DSMT4" ShapeID="_x0000_i1075" DrawAspect="Content" ObjectID="_1468075775" r:id="rId121">
            <o:LockedField>false</o:LockedField>
          </o:OLEObject>
        </w:object>
      </w:r>
      <w:r>
        <w:rPr>
          <w:rFonts w:cs="Times New Roman"/>
          <w:sz w:val="21"/>
        </w:rPr>
        <w:t>——</w:t>
      </w:r>
      <w:r>
        <w:rPr>
          <w:rFonts w:hint="eastAsia"/>
          <w:lang w:bidi="en-US"/>
        </w:rPr>
        <w:t>泥浆相对密度；</w:t>
      </w:r>
    </w:p>
    <w:p>
      <w:pPr>
        <w:ind w:firstLine="480"/>
        <w:rPr>
          <w:lang w:bidi="en-US"/>
        </w:rPr>
      </w:pPr>
      <w:r>
        <w:rPr>
          <w:position w:val="-6"/>
          <w:lang w:bidi="en-US"/>
        </w:rPr>
        <w:object>
          <v:shape id="_x0000_i1076" o:spt="75" type="#_x0000_t75" style="height:13.6pt;width:11.55pt;" o:ole="t" filled="f" o:preferrelative="t" stroked="f" coordsize="21600,21600">
            <v:path/>
            <v:fill on="f" focussize="0,0"/>
            <v:stroke on="f" joinstyle="miter"/>
            <v:imagedata r:id="rId124" o:title=""/>
            <o:lock v:ext="edit" aspectratio="t"/>
            <w10:wrap type="none"/>
            <w10:anchorlock/>
          </v:shape>
          <o:OLEObject Type="Embed" ProgID="Equation.DSMT4" ShapeID="_x0000_i1076" DrawAspect="Content" ObjectID="_1468075776" r:id="rId123">
            <o:LockedField>false</o:LockedField>
          </o:OLEObject>
        </w:object>
      </w:r>
      <w:r>
        <w:rPr>
          <w:rFonts w:cs="Times New Roman"/>
          <w:sz w:val="21"/>
        </w:rPr>
        <w:t>——</w:t>
      </w:r>
      <w:r>
        <w:rPr>
          <w:rFonts w:hint="eastAsia"/>
          <w:lang w:bidi="en-US"/>
        </w:rPr>
        <w:t>水的相对密度；</w:t>
      </w:r>
    </w:p>
    <w:p>
      <w:pPr>
        <w:ind w:firstLine="480"/>
        <w:rPr>
          <w:lang w:bidi="en-US"/>
        </w:rPr>
      </w:pPr>
      <w:r>
        <w:rPr>
          <w:position w:val="-12"/>
          <w:lang w:bidi="en-US"/>
        </w:rPr>
        <w:object>
          <v:shape id="_x0000_i1077" o:spt="75" type="#_x0000_t75" style="height:19pt;width:19pt;" o:ole="t" filled="f" o:preferrelative="t" stroked="f" coordsize="21600,21600">
            <v:path/>
            <v:fill on="f" focussize="0,0"/>
            <v:stroke on="f" joinstyle="miter"/>
            <v:imagedata r:id="rId126" o:title=""/>
            <o:lock v:ext="edit" aspectratio="t"/>
            <w10:wrap type="none"/>
            <w10:anchorlock/>
          </v:shape>
          <o:OLEObject Type="Embed" ProgID="Equation.DSMT4" ShapeID="_x0000_i1077" DrawAspect="Content" ObjectID="_1468075777" r:id="rId125">
            <o:LockedField>false</o:LockedField>
          </o:OLEObject>
        </w:object>
      </w:r>
      <w:r>
        <w:rPr>
          <w:rFonts w:cs="Times New Roman"/>
          <w:sz w:val="21"/>
        </w:rPr>
        <w:t>——</w:t>
      </w:r>
      <w:r>
        <w:rPr>
          <w:rFonts w:hint="eastAsia"/>
          <w:lang w:bidi="en-US"/>
        </w:rPr>
        <w:t>吸泥管截面面积（</w:t>
      </w:r>
      <w:r>
        <w:rPr>
          <w:lang w:bidi="en-US"/>
        </w:rPr>
        <w:t>m</w:t>
      </w:r>
      <w:r>
        <w:rPr>
          <w:vertAlign w:val="superscript"/>
          <w:lang w:bidi="en-US"/>
        </w:rPr>
        <w:t>2</w:t>
      </w:r>
      <w:r>
        <w:rPr>
          <w:rFonts w:hint="eastAsia"/>
          <w:lang w:bidi="en-US"/>
        </w:rPr>
        <w:t>）；</w:t>
      </w:r>
    </w:p>
    <w:p>
      <w:pPr>
        <w:ind w:firstLine="480"/>
        <w:rPr>
          <w:lang w:bidi="en-US"/>
        </w:rPr>
      </w:pPr>
      <w:r>
        <w:rPr>
          <w:position w:val="-12"/>
          <w:lang w:bidi="en-US"/>
        </w:rPr>
        <w:object>
          <v:shape id="_x0000_i1078" o:spt="75" type="#_x0000_t75" style="height:19pt;width:19pt;" o:ole="t" filled="f" o:preferrelative="t" stroked="f" coordsize="21600,21600">
            <v:path/>
            <v:fill on="f" focussize="0,0"/>
            <v:stroke on="f" joinstyle="miter"/>
            <v:imagedata r:id="rId128" o:title=""/>
            <o:lock v:ext="edit" aspectratio="t"/>
            <w10:wrap type="none"/>
            <w10:anchorlock/>
          </v:shape>
          <o:OLEObject Type="Embed" ProgID="Equation.DSMT4" ShapeID="_x0000_i1078" DrawAspect="Content" ObjectID="_1468075778" r:id="rId127">
            <o:LockedField>false</o:LockedField>
          </o:OLEObject>
        </w:object>
      </w:r>
      <w:r>
        <w:rPr>
          <w:rFonts w:cs="Times New Roman"/>
          <w:sz w:val="21"/>
        </w:rPr>
        <w:t>——</w:t>
      </w:r>
      <w:r>
        <w:rPr>
          <w:rFonts w:hint="eastAsia"/>
          <w:lang w:bidi="en-US"/>
        </w:rPr>
        <w:t>每秒泥浆流量（</w:t>
      </w:r>
      <w:r>
        <w:rPr>
          <w:lang w:bidi="en-US"/>
        </w:rPr>
        <w:t>m</w:t>
      </w:r>
      <w:r>
        <w:rPr>
          <w:vertAlign w:val="superscript"/>
          <w:lang w:bidi="en-US"/>
        </w:rPr>
        <w:t>3</w:t>
      </w:r>
      <w:r>
        <w:rPr>
          <w:lang w:bidi="en-US"/>
        </w:rPr>
        <w:t>/s</w:t>
      </w:r>
      <w:r>
        <w:rPr>
          <w:rFonts w:hint="eastAsia"/>
          <w:lang w:bidi="en-US"/>
        </w:rPr>
        <w:t>），</w:t>
      </w:r>
      <w:r>
        <w:rPr>
          <w:position w:val="-24"/>
          <w:lang w:bidi="en-US"/>
        </w:rPr>
        <w:object>
          <v:shape id="_x0000_i1079" o:spt="75" type="#_x0000_t75" style="height:31.9pt;width:55pt;" o:ole="t" filled="f" o:preferrelative="t" stroked="f" coordsize="21600,21600">
            <v:path/>
            <v:fill on="f" focussize="0,0"/>
            <v:stroke on="f" joinstyle="miter"/>
            <v:imagedata r:id="rId130" o:title=""/>
            <o:lock v:ext="edit" aspectratio="t"/>
            <w10:wrap type="none"/>
            <w10:anchorlock/>
          </v:shape>
          <o:OLEObject Type="Embed" ProgID="Equation.DSMT4" ShapeID="_x0000_i1079" DrawAspect="Content" ObjectID="_1468075779" r:id="rId129">
            <o:LockedField>false</o:LockedField>
          </o:OLEObject>
        </w:object>
      </w:r>
      <w:r>
        <w:rPr>
          <w:rFonts w:hint="eastAsia"/>
          <w:lang w:bidi="en-US"/>
        </w:rPr>
        <w:t>；</w:t>
      </w:r>
    </w:p>
    <w:p>
      <w:pPr>
        <w:ind w:firstLine="480"/>
        <w:rPr>
          <w:lang w:bidi="en-US"/>
        </w:rPr>
      </w:pPr>
      <w:r>
        <w:rPr>
          <w:position w:val="-12"/>
          <w:lang w:bidi="en-US"/>
        </w:rPr>
        <w:object>
          <v:shape id="_x0000_i1080" o:spt="75" type="#_x0000_t75" style="height:19pt;width:19pt;" o:ole="t" filled="f" o:preferrelative="t" stroked="f" coordsize="21600,21600">
            <v:path/>
            <v:fill on="f" focussize="0,0"/>
            <v:stroke on="f" joinstyle="miter"/>
            <v:imagedata r:id="rId132" o:title=""/>
            <o:lock v:ext="edit" aspectratio="t"/>
            <w10:wrap type="none"/>
            <w10:anchorlock/>
          </v:shape>
          <o:OLEObject Type="Embed" ProgID="Equation.DSMT4" ShapeID="_x0000_i1080" DrawAspect="Content" ObjectID="_1468075780" r:id="rId131">
            <o:LockedField>false</o:LockedField>
          </o:OLEObject>
        </w:object>
      </w:r>
      <w:r>
        <w:rPr>
          <w:rFonts w:cs="Times New Roman"/>
          <w:sz w:val="21"/>
        </w:rPr>
        <w:t>——</w:t>
      </w:r>
      <w:r>
        <w:rPr>
          <w:rFonts w:hint="eastAsia"/>
          <w:lang w:bidi="en-US"/>
        </w:rPr>
        <w:t>每分钟泥浆流量（</w:t>
      </w:r>
      <w:r>
        <w:rPr>
          <w:lang w:bidi="en-US"/>
        </w:rPr>
        <w:t>m</w:t>
      </w:r>
      <w:r>
        <w:rPr>
          <w:vertAlign w:val="superscript"/>
          <w:lang w:bidi="en-US"/>
        </w:rPr>
        <w:t>3</w:t>
      </w:r>
      <w:r>
        <w:rPr>
          <w:lang w:bidi="en-US"/>
        </w:rPr>
        <w:t>/min</w:t>
      </w:r>
      <w:r>
        <w:rPr>
          <w:rFonts w:hint="eastAsia"/>
          <w:lang w:bidi="en-US"/>
        </w:rPr>
        <w:t>），</w:t>
      </w:r>
      <w:r>
        <w:rPr>
          <w:position w:val="-24"/>
          <w:lang w:bidi="en-US"/>
        </w:rPr>
        <w:object>
          <v:shape id="_x0000_i1081" o:spt="75" type="#_x0000_t75" style="height:31.9pt;width:47.55pt;" o:ole="t" filled="f" o:preferrelative="t" stroked="f" coordsize="21600,21600">
            <v:path/>
            <v:fill on="f" focussize="0,0"/>
            <v:stroke on="f" joinstyle="miter"/>
            <v:imagedata r:id="rId134" o:title=""/>
            <o:lock v:ext="edit" aspectratio="t"/>
            <w10:wrap type="none"/>
            <w10:anchorlock/>
          </v:shape>
          <o:OLEObject Type="Embed" ProgID="Equation.DSMT4" ShapeID="_x0000_i1081" DrawAspect="Content" ObjectID="_1468075781" r:id="rId133">
            <o:LockedField>false</o:LockedField>
          </o:OLEObject>
        </w:object>
      </w:r>
      <w:r>
        <w:rPr>
          <w:rFonts w:hint="eastAsia"/>
          <w:lang w:bidi="en-US"/>
        </w:rPr>
        <w:t>；</w:t>
      </w:r>
    </w:p>
    <w:p>
      <w:pPr>
        <w:ind w:firstLine="480"/>
        <w:rPr>
          <w:lang w:bidi="en-US"/>
        </w:rPr>
      </w:pPr>
      <w:r>
        <w:rPr>
          <w:position w:val="-12"/>
          <w:lang w:bidi="en-US"/>
        </w:rPr>
        <w:object>
          <v:shape id="_x0000_i1082" o:spt="75" type="#_x0000_t75" style="height:19pt;width:17pt;" o:ole="t" filled="f" o:preferrelative="t" stroked="f" coordsize="21600,21600">
            <v:path/>
            <v:fill on="f" focussize="0,0"/>
            <v:stroke on="f" joinstyle="miter"/>
            <v:imagedata r:id="rId136" o:title=""/>
            <o:lock v:ext="edit" aspectratio="t"/>
            <w10:wrap type="none"/>
            <w10:anchorlock/>
          </v:shape>
          <o:OLEObject Type="Embed" ProgID="Equation.DSMT4" ShapeID="_x0000_i1082" DrawAspect="Content" ObjectID="_1468075782" r:id="rId135">
            <o:LockedField>false</o:LockedField>
          </o:OLEObject>
        </w:object>
      </w:r>
      <w:r>
        <w:rPr>
          <w:rFonts w:cs="Times New Roman"/>
          <w:sz w:val="21"/>
        </w:rPr>
        <w:t>——</w:t>
      </w:r>
      <w:r>
        <w:rPr>
          <w:rFonts w:hint="eastAsia"/>
          <w:lang w:bidi="en-US"/>
        </w:rPr>
        <w:t>吸入泥浆的速度，视土颗粒大小而定，一般为</w:t>
      </w:r>
      <w:r>
        <w:rPr>
          <w:lang w:bidi="en-US"/>
        </w:rPr>
        <w:t>1~2m/s</w:t>
      </w:r>
      <w:r>
        <w:rPr>
          <w:rFonts w:hint="eastAsia"/>
          <w:lang w:bidi="en-US"/>
        </w:rPr>
        <w:t>；</w:t>
      </w:r>
    </w:p>
    <w:p>
      <w:pPr>
        <w:ind w:firstLine="480"/>
        <w:rPr>
          <w:lang w:bidi="en-US"/>
        </w:rPr>
      </w:pPr>
      <w:r>
        <w:rPr>
          <w:lang w:bidi="en-US"/>
        </w:rPr>
        <w:object>
          <v:shape id="_x0000_i1083" o:spt="75" type="#_x0000_t75" style="height:19pt;width:19pt;" o:ole="t" filled="f" o:preferrelative="t" stroked="f" coordsize="21600,21600">
            <v:path/>
            <v:fill on="f" focussize="0,0"/>
            <v:stroke on="f" joinstyle="miter"/>
            <v:imagedata r:id="rId138" o:title=""/>
            <o:lock v:ext="edit" aspectratio="t"/>
            <w10:wrap type="none"/>
            <w10:anchorlock/>
          </v:shape>
          <o:OLEObject Type="Embed" ProgID="Equation.DSMT4" ShapeID="_x0000_i1083" DrawAspect="Content" ObjectID="_1468075783" r:id="rId137">
            <o:LockedField>false</o:LockedField>
          </o:OLEObject>
        </w:object>
      </w:r>
      <w:r>
        <w:rPr>
          <w:rFonts w:cs="Times New Roman"/>
          <w:sz w:val="21"/>
        </w:rPr>
        <w:t>——</w:t>
      </w:r>
      <w:r>
        <w:rPr>
          <w:rFonts w:hint="eastAsia"/>
          <w:lang w:bidi="en-US"/>
        </w:rPr>
        <w:t>吸泥机排除水量（</w:t>
      </w:r>
      <w:r>
        <w:rPr>
          <w:lang w:bidi="en-US"/>
        </w:rPr>
        <w:t>m</w:t>
      </w:r>
      <w:r>
        <w:rPr>
          <w:vertAlign w:val="superscript"/>
          <w:lang w:bidi="en-US"/>
        </w:rPr>
        <w:t>3</w:t>
      </w:r>
      <w:r>
        <w:rPr>
          <w:lang w:bidi="en-US"/>
        </w:rPr>
        <w:t>/h</w:t>
      </w:r>
      <w:r>
        <w:rPr>
          <w:rFonts w:hint="eastAsia"/>
          <w:lang w:bidi="en-US"/>
        </w:rPr>
        <w:t>）；</w:t>
      </w:r>
    </w:p>
    <w:p>
      <w:pPr>
        <w:ind w:firstLine="480"/>
        <w:rPr>
          <w:lang w:bidi="en-US"/>
        </w:rPr>
      </w:pPr>
      <w:r>
        <w:rPr>
          <w:lang w:bidi="en-US"/>
        </w:rPr>
        <w:object>
          <v:shape id="_x0000_i1084" o:spt="75" type="#_x0000_t75" style="height:19pt;width:19pt;" o:ole="t" filled="f" o:preferrelative="t" stroked="f" coordsize="21600,21600">
            <v:path/>
            <v:fill on="f" focussize="0,0"/>
            <v:stroke on="f" joinstyle="miter"/>
            <v:imagedata r:id="rId140" o:title=""/>
            <o:lock v:ext="edit" aspectratio="t"/>
            <w10:wrap type="none"/>
            <w10:anchorlock/>
          </v:shape>
          <o:OLEObject Type="Embed" ProgID="Equation.DSMT4" ShapeID="_x0000_i1084" DrawAspect="Content" ObjectID="_1468075784" r:id="rId139">
            <o:LockedField>false</o:LockedField>
          </o:OLEObject>
        </w:object>
      </w:r>
      <w:r>
        <w:rPr>
          <w:rFonts w:cs="Times New Roman"/>
          <w:sz w:val="21"/>
        </w:rPr>
        <w:t>——</w:t>
      </w:r>
      <w:r>
        <w:rPr>
          <w:rFonts w:hint="eastAsia"/>
          <w:lang w:bidi="en-US"/>
        </w:rPr>
        <w:t>吸泥机压缩空气消耗量（</w:t>
      </w:r>
      <w:r>
        <w:rPr>
          <w:lang w:bidi="en-US"/>
        </w:rPr>
        <w:t>m</w:t>
      </w:r>
      <w:r>
        <w:rPr>
          <w:vertAlign w:val="superscript"/>
          <w:lang w:bidi="en-US"/>
        </w:rPr>
        <w:t>3</w:t>
      </w:r>
      <w:r>
        <w:rPr>
          <w:lang w:bidi="en-US"/>
        </w:rPr>
        <w:t>/min</w:t>
      </w:r>
      <w:r>
        <w:rPr>
          <w:rFonts w:hint="eastAsia"/>
          <w:lang w:bidi="en-US"/>
        </w:rPr>
        <w:t>）；</w:t>
      </w:r>
    </w:p>
    <w:p>
      <w:pPr>
        <w:ind w:firstLine="480"/>
        <w:rPr>
          <w:lang w:bidi="en-US"/>
        </w:rPr>
      </w:pPr>
      <w:r>
        <w:rPr>
          <w:position w:val="-4"/>
          <w:lang w:bidi="en-US"/>
        </w:rPr>
        <w:object>
          <v:shape id="_x0000_i1085" o:spt="75" type="#_x0000_t75" style="height:12.25pt;width:13.6pt;" o:ole="t" filled="f" o:preferrelative="t" stroked="f" coordsize="21600,21600">
            <v:path/>
            <v:fill on="f" focussize="0,0"/>
            <v:stroke on="f" joinstyle="miter"/>
            <v:imagedata r:id="rId142" o:title=""/>
            <o:lock v:ext="edit" aspectratio="t"/>
            <w10:wrap type="none"/>
            <w10:anchorlock/>
          </v:shape>
          <o:OLEObject Type="Embed" ProgID="Equation.DSMT4" ShapeID="_x0000_i1085" DrawAspect="Content" ObjectID="_1468075785" r:id="rId141">
            <o:LockedField>false</o:LockedField>
          </o:OLEObject>
        </w:object>
      </w:r>
      <w:r>
        <w:rPr>
          <w:rFonts w:cs="Times New Roman"/>
          <w:sz w:val="21"/>
        </w:rPr>
        <w:t>——</w:t>
      </w:r>
      <w:r>
        <w:rPr>
          <w:rFonts w:hint="eastAsia"/>
          <w:lang w:bidi="en-US"/>
        </w:rPr>
        <w:t>空气混合气在水面以下的深度</w:t>
      </w:r>
      <w:r>
        <w:rPr>
          <w:lang w:bidi="en-US"/>
        </w:rPr>
        <w:t>(m)</w:t>
      </w:r>
      <w:r>
        <w:rPr>
          <w:rFonts w:hint="eastAsia"/>
          <w:lang w:bidi="en-US"/>
        </w:rPr>
        <w:t>；</w:t>
      </w:r>
    </w:p>
    <w:p>
      <w:pPr>
        <w:ind w:firstLine="480"/>
        <w:rPr>
          <w:lang w:bidi="en-US"/>
        </w:rPr>
      </w:pPr>
      <w:r>
        <w:rPr>
          <w:i/>
          <w:lang w:bidi="en-US"/>
        </w:rPr>
        <w:t>h</w:t>
      </w:r>
      <w:r>
        <w:rPr>
          <w:rFonts w:cs="Times New Roman"/>
          <w:sz w:val="21"/>
        </w:rPr>
        <w:t>——</w:t>
      </w:r>
      <w:r>
        <w:rPr>
          <w:rFonts w:hint="eastAsia"/>
          <w:lang w:bidi="en-US"/>
        </w:rPr>
        <w:t>排泥管出口处高于井内水面的高度</w:t>
      </w:r>
      <w:r>
        <w:rPr>
          <w:lang w:bidi="en-US"/>
        </w:rPr>
        <w:t>(m)</w:t>
      </w:r>
      <w:r>
        <w:rPr>
          <w:rFonts w:hint="eastAsia"/>
          <w:lang w:bidi="en-US"/>
        </w:rPr>
        <w:t>；</w:t>
      </w:r>
    </w:p>
    <w:p>
      <w:pPr>
        <w:ind w:firstLine="480"/>
        <w:rPr>
          <w:lang w:bidi="en-US"/>
        </w:rPr>
      </w:pPr>
      <w:r>
        <w:rPr>
          <w:i/>
          <w:lang w:bidi="en-US"/>
        </w:rPr>
        <w:t>c</w:t>
      </w:r>
      <w:r>
        <w:rPr>
          <w:vertAlign w:val="subscript"/>
          <w:lang w:bidi="en-US"/>
        </w:rPr>
        <w:t>1</w:t>
      </w:r>
      <w:r>
        <w:rPr>
          <w:rFonts w:cs="Times New Roman"/>
          <w:sz w:val="21"/>
        </w:rPr>
        <w:t>——</w:t>
      </w:r>
      <w:r>
        <w:rPr>
          <w:rFonts w:hint="eastAsia"/>
          <w:lang w:bidi="en-US"/>
        </w:rPr>
        <w:t>校正系数，应在施工中测验求得，没有测验值时，取</w:t>
      </w:r>
      <w:r>
        <w:rPr>
          <w:i/>
          <w:lang w:bidi="en-US"/>
        </w:rPr>
        <w:t>c</w:t>
      </w:r>
      <w:r>
        <w:rPr>
          <w:position w:val="-4"/>
          <w:lang w:bidi="en-US"/>
        </w:rPr>
        <w:object>
          <v:shape id="_x0000_i1086" o:spt="75" type="#_x0000_t75" style="height:9.5pt;width:9.5pt;" o:ole="t" filled="f" o:preferrelative="t" stroked="f" coordsize="21600,21600">
            <v:path/>
            <v:fill on="f" focussize="0,0"/>
            <v:stroke on="f" joinstyle="miter"/>
            <v:imagedata r:id="rId144" o:title=""/>
            <o:lock v:ext="edit" aspectratio="t"/>
            <w10:wrap type="none"/>
            <w10:anchorlock/>
          </v:shape>
          <o:OLEObject Type="Embed" ProgID="Equation.DSMT4" ShapeID="_x0000_i1086" DrawAspect="Content" ObjectID="_1468075786" r:id="rId143">
            <o:LockedField>false</o:LockedField>
          </o:OLEObject>
        </w:object>
      </w:r>
      <w:r>
        <w:rPr>
          <w:lang w:bidi="en-US"/>
        </w:rPr>
        <w:t>1.5~2.0</w:t>
      </w:r>
      <w:r>
        <w:rPr>
          <w:rFonts w:hint="eastAsia"/>
          <w:lang w:bidi="en-US"/>
        </w:rPr>
        <w:t>；</w:t>
      </w:r>
    </w:p>
    <w:p>
      <w:pPr>
        <w:ind w:firstLine="480"/>
        <w:rPr>
          <w:lang w:bidi="en-US"/>
        </w:rPr>
      </w:pPr>
      <w:r>
        <w:rPr>
          <w:i/>
          <w:lang w:bidi="en-US"/>
        </w:rPr>
        <w:t>c</w:t>
      </w:r>
      <w:r>
        <w:rPr>
          <w:vertAlign w:val="subscript"/>
          <w:lang w:bidi="en-US"/>
        </w:rPr>
        <w:t>2</w:t>
      </w:r>
      <w:r>
        <w:rPr>
          <w:rFonts w:cs="Times New Roman"/>
          <w:sz w:val="21"/>
        </w:rPr>
        <w:t>——</w:t>
      </w:r>
      <w:r>
        <w:rPr>
          <w:rFonts w:hint="eastAsia"/>
          <w:lang w:bidi="en-US"/>
        </w:rPr>
        <w:t>系数，视空气混合气的相对高度</w:t>
      </w:r>
      <w:r>
        <w:rPr>
          <w:position w:val="-14"/>
          <w:lang w:bidi="en-US"/>
        </w:rPr>
        <w:object>
          <v:shape id="_x0000_i1087" o:spt="75" type="#_x0000_t75" style="height:19pt;width:59.75pt;" o:ole="t" filled="f" o:preferrelative="t" stroked="f" coordsize="21600,21600">
            <v:path/>
            <v:fill on="f" focussize="0,0"/>
            <v:stroke on="f" joinstyle="miter"/>
            <v:imagedata r:id="rId146" o:title=""/>
            <o:lock v:ext="edit" aspectratio="t"/>
            <w10:wrap type="none"/>
            <w10:anchorlock/>
          </v:shape>
          <o:OLEObject Type="Embed" ProgID="Equation.DSMT4" ShapeID="_x0000_i1087" DrawAspect="Content" ObjectID="_1468075787" r:id="rId145">
            <o:LockedField>false</o:LockedField>
          </o:OLEObject>
        </w:object>
      </w:r>
      <w:r>
        <w:rPr>
          <w:rFonts w:hint="eastAsia"/>
          <w:lang w:bidi="en-US"/>
        </w:rPr>
        <w:t>；</w:t>
      </w:r>
    </w:p>
    <w:p>
      <w:pPr>
        <w:ind w:firstLine="480"/>
        <w:rPr>
          <w:lang w:bidi="en-US"/>
        </w:rPr>
      </w:pPr>
      <w:r>
        <w:rPr>
          <w:i/>
          <w:lang w:bidi="en-US"/>
        </w:rPr>
        <w:t>m</w:t>
      </w:r>
      <w:r>
        <w:rPr>
          <w:rFonts w:cs="Times New Roman"/>
          <w:sz w:val="21"/>
        </w:rPr>
        <w:t>——</w:t>
      </w:r>
      <w:r>
        <w:rPr>
          <w:rFonts w:hint="eastAsia"/>
          <w:lang w:bidi="en-US"/>
        </w:rPr>
        <w:t>吸扬泥浆的增大系数，</w:t>
      </w:r>
      <w:r>
        <w:rPr>
          <w:position w:val="-16"/>
          <w:lang w:bidi="en-US"/>
        </w:rPr>
        <w:object>
          <v:shape id="_x0000_i1088" o:spt="75" type="#_x0000_t75" style="height:22.4pt;width:153.5pt;" o:ole="t" filled="f" o:preferrelative="t" stroked="f" coordsize="21600,21600">
            <v:path/>
            <v:fill on="f" focussize="0,0"/>
            <v:stroke on="f" joinstyle="miter"/>
            <v:imagedata r:id="rId148" o:title=""/>
            <o:lock v:ext="edit" aspectratio="t"/>
            <w10:wrap type="none"/>
            <w10:anchorlock/>
          </v:shape>
          <o:OLEObject Type="Embed" ProgID="Equation.DSMT4" ShapeID="_x0000_i1088" DrawAspect="Content" ObjectID="_1468075788" r:id="rId147">
            <o:LockedField>false</o:LockedField>
          </o:OLEObject>
        </w:object>
      </w:r>
      <w:r>
        <w:rPr>
          <w:rFonts w:hint="eastAsia"/>
          <w:lang w:bidi="en-US"/>
        </w:rPr>
        <w:t>；</w:t>
      </w:r>
    </w:p>
    <w:p>
      <w:pPr>
        <w:ind w:firstLine="480"/>
        <w:rPr>
          <w:lang w:bidi="en-US"/>
        </w:rPr>
      </w:pPr>
      <w:r>
        <w:rPr>
          <w:bCs/>
          <w:i/>
          <w:lang w:bidi="en-US"/>
        </w:rPr>
        <w:t>P</w:t>
      </w:r>
      <w:r>
        <w:rPr>
          <w:rFonts w:cs="Times New Roman"/>
          <w:sz w:val="21"/>
        </w:rPr>
        <w:t>——</w:t>
      </w:r>
      <w:r>
        <w:rPr>
          <w:rFonts w:hint="eastAsia"/>
          <w:lang w:bidi="en-US"/>
        </w:rPr>
        <w:t>压缩空气压力</w:t>
      </w:r>
      <w:r>
        <w:rPr>
          <w:rFonts w:hint="eastAsia"/>
          <w:bCs/>
          <w:lang w:bidi="en-US"/>
        </w:rPr>
        <w:t>（</w:t>
      </w:r>
      <w:r>
        <w:rPr>
          <w:bCs/>
          <w:lang w:bidi="en-US"/>
        </w:rPr>
        <w:t>MPa</w:t>
      </w:r>
      <w:r>
        <w:rPr>
          <w:rFonts w:hint="eastAsia"/>
          <w:bCs/>
          <w:lang w:bidi="en-US"/>
        </w:rPr>
        <w:t>）；</w:t>
      </w:r>
    </w:p>
    <w:p>
      <w:pPr>
        <w:ind w:firstLine="480"/>
        <w:rPr>
          <w:lang w:bidi="en-US"/>
        </w:rPr>
      </w:pPr>
      <w:r>
        <w:rPr>
          <w:position w:val="-12"/>
          <w:lang w:bidi="en-US"/>
        </w:rPr>
        <w:object>
          <v:shape id="_x0000_i1089" o:spt="75" type="#_x0000_t75" style="height:19pt;width:17pt;" o:ole="t" filled="f" o:preferrelative="t" stroked="f" coordsize="21600,21600">
            <v:path/>
            <v:fill on="f" focussize="0,0"/>
            <v:stroke on="f" joinstyle="miter"/>
            <v:imagedata r:id="rId150" o:title=""/>
            <o:lock v:ext="edit" aspectratio="t"/>
            <w10:wrap type="none"/>
            <w10:anchorlock/>
          </v:shape>
          <o:OLEObject Type="Embed" ProgID="Equation.DSMT4" ShapeID="_x0000_i1089" DrawAspect="Content" ObjectID="_1468075789" r:id="rId149">
            <o:LockedField>false</o:LockedField>
          </o:OLEObject>
        </w:object>
      </w:r>
      <w:r>
        <w:rPr>
          <w:rFonts w:cs="Times New Roman"/>
          <w:sz w:val="21"/>
        </w:rPr>
        <w:t>——</w:t>
      </w:r>
      <w:r>
        <w:rPr>
          <w:rFonts w:hint="eastAsia"/>
          <w:lang w:bidi="en-US"/>
        </w:rPr>
        <w:t>在混合室处的混合浆流速（</w:t>
      </w:r>
      <w:r>
        <w:rPr>
          <w:lang w:bidi="en-US"/>
        </w:rPr>
        <w:t>m/s</w:t>
      </w:r>
      <w:r>
        <w:rPr>
          <w:rFonts w:hint="eastAsia"/>
          <w:lang w:bidi="en-US"/>
        </w:rPr>
        <w:t>）；</w:t>
      </w:r>
    </w:p>
    <w:p>
      <w:pPr>
        <w:ind w:firstLine="480"/>
        <w:rPr>
          <w:lang w:bidi="en-US"/>
        </w:rPr>
      </w:pPr>
      <w:r>
        <w:rPr>
          <w:position w:val="-12"/>
          <w:lang w:bidi="en-US"/>
        </w:rPr>
        <w:object>
          <v:shape id="_x0000_i1090" o:spt="75" type="#_x0000_t75" style="height:19pt;width:17pt;" o:ole="t" filled="f" o:preferrelative="t" stroked="f" coordsize="21600,21600">
            <v:path/>
            <v:fill on="f" focussize="0,0"/>
            <v:stroke on="f" joinstyle="miter"/>
            <v:imagedata r:id="rId152" o:title=""/>
            <o:lock v:ext="edit" aspectratio="t"/>
            <w10:wrap type="none"/>
            <w10:anchorlock/>
          </v:shape>
          <o:OLEObject Type="Embed" ProgID="Equation.DSMT4" ShapeID="_x0000_i1090" DrawAspect="Content" ObjectID="_1468075790" r:id="rId151">
            <o:LockedField>false</o:LockedField>
          </o:OLEObject>
        </w:object>
      </w:r>
      <w:r>
        <w:rPr>
          <w:rFonts w:cs="Times New Roman"/>
          <w:sz w:val="21"/>
        </w:rPr>
        <w:t>——</w:t>
      </w:r>
      <w:r>
        <w:rPr>
          <w:rFonts w:hint="eastAsia"/>
          <w:lang w:bidi="en-US"/>
        </w:rPr>
        <w:t>在排泥口处的混合浆流速（</w:t>
      </w:r>
      <w:r>
        <w:rPr>
          <w:lang w:bidi="en-US"/>
        </w:rPr>
        <w:t>m/s</w:t>
      </w:r>
      <w:r>
        <w:rPr>
          <w:rFonts w:hint="eastAsia"/>
          <w:lang w:bidi="en-US"/>
        </w:rPr>
        <w:t>）；</w:t>
      </w:r>
    </w:p>
    <w:p>
      <w:pPr>
        <w:ind w:firstLine="480"/>
        <w:rPr>
          <w:lang w:bidi="en-US"/>
        </w:rPr>
      </w:pPr>
      <w:r>
        <w:rPr>
          <w:position w:val="-12"/>
          <w:lang w:bidi="en-US"/>
        </w:rPr>
        <w:object>
          <v:shape id="_x0000_i1091" o:spt="75" type="#_x0000_t75" style="height:19pt;width:19pt;" o:ole="t" filled="f" o:preferrelative="t" stroked="f" coordsize="21600,21600">
            <v:path/>
            <v:fill on="f" focussize="0,0"/>
            <v:stroke on="f" joinstyle="miter"/>
            <v:imagedata r:id="rId154" o:title=""/>
            <o:lock v:ext="edit" aspectratio="t"/>
            <w10:wrap type="none"/>
            <w10:anchorlock/>
          </v:shape>
          <o:OLEObject Type="Embed" ProgID="Equation.DSMT4" ShapeID="_x0000_i1091" DrawAspect="Content" ObjectID="_1468075791" r:id="rId153">
            <o:LockedField>false</o:LockedField>
          </o:OLEObject>
        </w:object>
      </w:r>
      <w:r>
        <w:rPr>
          <w:rFonts w:cs="Times New Roman"/>
          <w:sz w:val="21"/>
        </w:rPr>
        <w:t>——</w:t>
      </w:r>
      <w:r>
        <w:rPr>
          <w:rFonts w:hint="eastAsia"/>
          <w:lang w:bidi="en-US"/>
        </w:rPr>
        <w:t>每秒进入混合室的压缩空气量（</w:t>
      </w:r>
      <w:r>
        <w:rPr>
          <w:lang w:bidi="en-US"/>
        </w:rPr>
        <w:t>m</w:t>
      </w:r>
      <w:r>
        <w:rPr>
          <w:vertAlign w:val="superscript"/>
          <w:lang w:bidi="en-US"/>
        </w:rPr>
        <w:t>3</w:t>
      </w:r>
      <w:r>
        <w:rPr>
          <w:lang w:bidi="en-US"/>
        </w:rPr>
        <w:t>/s</w:t>
      </w:r>
      <w:r>
        <w:rPr>
          <w:rFonts w:hint="eastAsia"/>
          <w:lang w:bidi="en-US"/>
        </w:rPr>
        <w:t>），</w:t>
      </w:r>
      <w:r>
        <w:rPr>
          <w:position w:val="-24"/>
          <w:lang w:bidi="en-US"/>
        </w:rPr>
        <w:object>
          <v:shape id="_x0000_i1092" o:spt="75" type="#_x0000_t75" style="height:31.9pt;width:47.55pt;" o:ole="t" filled="f" o:preferrelative="t" stroked="f" coordsize="21600,21600">
            <v:path/>
            <v:fill on="f" focussize="0,0"/>
            <v:stroke on="f" joinstyle="miter"/>
            <v:imagedata r:id="rId156" o:title=""/>
            <o:lock v:ext="edit" aspectratio="t"/>
            <w10:wrap type="none"/>
            <w10:anchorlock/>
          </v:shape>
          <o:OLEObject Type="Embed" ProgID="Equation.DSMT4" ShapeID="_x0000_i1092" DrawAspect="Content" ObjectID="_1468075792" r:id="rId155">
            <o:LockedField>false</o:LockedField>
          </o:OLEObject>
        </w:object>
      </w:r>
      <w:r>
        <w:rPr>
          <w:rFonts w:hint="eastAsia"/>
          <w:lang w:bidi="en-US"/>
        </w:rPr>
        <w:t>；</w:t>
      </w:r>
    </w:p>
    <w:p>
      <w:pPr>
        <w:ind w:firstLine="480"/>
        <w:rPr>
          <w:i/>
          <w:lang w:bidi="en-US"/>
        </w:rPr>
      </w:pPr>
      <w:r>
        <w:rPr>
          <w:position w:val="-14"/>
          <w:lang w:bidi="en-US"/>
        </w:rPr>
        <w:object>
          <v:shape id="_x0000_i1093" o:spt="75" type="#_x0000_t75" style="height:17pt;width:17pt;" o:ole="t" filled="f" o:preferrelative="t" stroked="f" coordsize="21600,21600">
            <v:path/>
            <v:fill on="f" focussize="0,0"/>
            <v:stroke on="f" joinstyle="miter"/>
            <v:imagedata r:id="rId158" o:title=""/>
            <o:lock v:ext="edit" aspectratio="t"/>
            <w10:wrap type="none"/>
            <w10:anchorlock/>
          </v:shape>
          <o:OLEObject Type="Embed" ProgID="Equation.DSMT4" ShapeID="_x0000_i1093" DrawAspect="Content" ObjectID="_1468075793" r:id="rId157">
            <o:LockedField>false</o:LockedField>
          </o:OLEObject>
        </w:object>
      </w:r>
      <w:r>
        <w:rPr>
          <w:rFonts w:cs="Times New Roman"/>
          <w:sz w:val="21"/>
        </w:rPr>
        <w:t>——</w:t>
      </w:r>
      <w:r>
        <w:rPr>
          <w:rFonts w:hint="eastAsia"/>
          <w:lang w:bidi="en-US"/>
        </w:rPr>
        <w:t>空气在管内的流速，一般取</w:t>
      </w:r>
      <w:r>
        <w:rPr>
          <w:lang w:bidi="en-US"/>
        </w:rPr>
        <w:t>10m/s~20m/s</w:t>
      </w:r>
      <w:r>
        <w:rPr>
          <w:rFonts w:hint="eastAsia"/>
          <w:lang w:bidi="en-US"/>
        </w:rPr>
        <w:t>；</w:t>
      </w:r>
    </w:p>
    <w:p>
      <w:pPr>
        <w:ind w:firstLine="480"/>
        <w:rPr>
          <w:lang w:bidi="en-US"/>
        </w:rPr>
      </w:pPr>
      <w:r>
        <w:rPr>
          <w:i/>
          <w:lang w:bidi="en-US"/>
        </w:rPr>
        <w:t>n</w:t>
      </w:r>
      <w:r>
        <w:rPr>
          <w:rFonts w:cs="Times New Roman"/>
          <w:sz w:val="21"/>
        </w:rPr>
        <w:t>——</w:t>
      </w:r>
      <w:r>
        <w:rPr>
          <w:rFonts w:hint="eastAsia"/>
          <w:lang w:bidi="en-US"/>
        </w:rPr>
        <w:t>吸泥机台数；</w:t>
      </w:r>
    </w:p>
    <w:p>
      <w:pPr>
        <w:ind w:firstLine="480"/>
        <w:rPr>
          <w:lang w:bidi="en-US"/>
        </w:rPr>
      </w:pPr>
      <w:r>
        <w:rPr>
          <w:i/>
          <w:lang w:bidi="en-US"/>
        </w:rPr>
        <w:t>K</w:t>
      </w:r>
      <w:r>
        <w:rPr>
          <w:rFonts w:cs="Times New Roman"/>
          <w:sz w:val="21"/>
        </w:rPr>
        <w:t>——</w:t>
      </w:r>
      <w:r>
        <w:rPr>
          <w:rFonts w:hint="eastAsia"/>
          <w:lang w:bidi="en-US"/>
        </w:rPr>
        <w:t>吸泥机同时工作时的系数，</w:t>
      </w:r>
      <w:r>
        <w:rPr>
          <w:i/>
          <w:lang w:bidi="en-US"/>
        </w:rPr>
        <w:t>n</w:t>
      </w:r>
      <w:r>
        <w:rPr>
          <w:rFonts w:hint="eastAsia"/>
          <w:lang w:bidi="en-US"/>
        </w:rPr>
        <w:t>值与</w:t>
      </w:r>
      <w:r>
        <w:rPr>
          <w:i/>
          <w:lang w:bidi="en-US"/>
        </w:rPr>
        <w:t>K</w:t>
      </w:r>
      <w:r>
        <w:rPr>
          <w:rFonts w:hint="eastAsia"/>
          <w:lang w:bidi="en-US"/>
        </w:rPr>
        <w:t>值的关系表。</w:t>
      </w:r>
    </w:p>
    <w:p>
      <w:pPr>
        <w:pStyle w:val="8"/>
        <w:ind w:firstLine="420"/>
        <w:rPr>
          <w:b w:val="0"/>
          <w:lang w:bidi="en-US"/>
        </w:rPr>
      </w:pPr>
      <w:r>
        <w:rPr>
          <w:rFonts w:hint="eastAsia"/>
          <w:b w:val="0"/>
          <w:lang w:bidi="en-US"/>
        </w:rPr>
        <w:t>表</w:t>
      </w:r>
      <w:r>
        <w:rPr>
          <w:b w:val="0"/>
          <w:lang w:bidi="en-US"/>
        </w:rPr>
        <w:t xml:space="preserve">4.6.2-1 </w:t>
      </w:r>
      <w:r>
        <w:rPr>
          <w:b w:val="0"/>
          <w:i/>
          <w:lang w:bidi="en-US"/>
        </w:rPr>
        <w:t>c</w:t>
      </w:r>
      <w:r>
        <w:rPr>
          <w:b w:val="0"/>
          <w:vertAlign w:val="subscript"/>
          <w:lang w:bidi="en-US"/>
        </w:rPr>
        <w:t>2</w:t>
      </w:r>
      <w:r>
        <w:rPr>
          <w:rFonts w:hint="eastAsia"/>
          <w:b w:val="0"/>
          <w:lang w:bidi="en-US"/>
        </w:rPr>
        <w:t>查询表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845"/>
        <w:gridCol w:w="846"/>
        <w:gridCol w:w="846"/>
        <w:gridCol w:w="846"/>
        <w:gridCol w:w="846"/>
        <w:gridCol w:w="846"/>
        <w:gridCol w:w="846"/>
        <w:gridCol w:w="845"/>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pStyle w:val="59"/>
            </w:pPr>
            <w:r>
              <w:rPr>
                <w:lang w:bidi="en-US"/>
              </w:rPr>
              <w:object>
                <v:shape id="_x0000_i1094" o:spt="75" type="#_x0000_t75" style="height:31.9pt;width:34.65pt;" o:ole="t" filled="f" o:preferrelative="t" stroked="f" coordsize="21600,21600">
                  <v:path/>
                  <v:fill on="f" focussize="0,0"/>
                  <v:stroke on="f" joinstyle="miter"/>
                  <v:imagedata r:id="rId160" o:title=""/>
                  <o:lock v:ext="edit" aspectratio="t"/>
                  <w10:wrap type="none"/>
                  <w10:anchorlock/>
                </v:shape>
                <o:OLEObject Type="Embed" ProgID="Equation.DSMT4" ShapeID="_x0000_i1094" DrawAspect="Content" ObjectID="_1468075794" r:id="rId159">
                  <o:LockedField>false</o:LockedField>
                </o:OLEObject>
              </w:object>
            </w:r>
          </w:p>
        </w:tc>
        <w:tc>
          <w:tcPr>
            <w:tcW w:w="852" w:type="dxa"/>
            <w:vAlign w:val="center"/>
          </w:tcPr>
          <w:p>
            <w:pPr>
              <w:pStyle w:val="59"/>
            </w:pPr>
            <w:r>
              <w:t>0.75</w:t>
            </w:r>
          </w:p>
        </w:tc>
        <w:tc>
          <w:tcPr>
            <w:tcW w:w="852" w:type="dxa"/>
            <w:vAlign w:val="center"/>
          </w:tcPr>
          <w:p>
            <w:pPr>
              <w:pStyle w:val="59"/>
            </w:pPr>
            <w:r>
              <w:t>0.7</w:t>
            </w:r>
          </w:p>
        </w:tc>
        <w:tc>
          <w:tcPr>
            <w:tcW w:w="852" w:type="dxa"/>
            <w:vAlign w:val="center"/>
          </w:tcPr>
          <w:p>
            <w:pPr>
              <w:pStyle w:val="59"/>
            </w:pPr>
            <w:r>
              <w:t>0.65</w:t>
            </w:r>
          </w:p>
        </w:tc>
        <w:tc>
          <w:tcPr>
            <w:tcW w:w="852" w:type="dxa"/>
            <w:vAlign w:val="center"/>
          </w:tcPr>
          <w:p>
            <w:pPr>
              <w:pStyle w:val="59"/>
            </w:pPr>
            <w:r>
              <w:t>0.6</w:t>
            </w:r>
          </w:p>
        </w:tc>
        <w:tc>
          <w:tcPr>
            <w:tcW w:w="852" w:type="dxa"/>
            <w:vAlign w:val="center"/>
          </w:tcPr>
          <w:p>
            <w:pPr>
              <w:pStyle w:val="59"/>
            </w:pPr>
            <w:r>
              <w:t>0.55</w:t>
            </w:r>
          </w:p>
        </w:tc>
        <w:tc>
          <w:tcPr>
            <w:tcW w:w="852" w:type="dxa"/>
            <w:vAlign w:val="center"/>
          </w:tcPr>
          <w:p>
            <w:pPr>
              <w:pStyle w:val="59"/>
            </w:pPr>
            <w:r>
              <w:t>0.5</w:t>
            </w:r>
          </w:p>
        </w:tc>
        <w:tc>
          <w:tcPr>
            <w:tcW w:w="852" w:type="dxa"/>
            <w:vAlign w:val="center"/>
          </w:tcPr>
          <w:p>
            <w:pPr>
              <w:pStyle w:val="59"/>
            </w:pPr>
            <w:r>
              <w:t>0.45</w:t>
            </w:r>
          </w:p>
        </w:tc>
        <w:tc>
          <w:tcPr>
            <w:tcW w:w="853" w:type="dxa"/>
            <w:vAlign w:val="center"/>
          </w:tcPr>
          <w:p>
            <w:pPr>
              <w:pStyle w:val="59"/>
            </w:pPr>
            <w:r>
              <w:t>0.4</w:t>
            </w:r>
          </w:p>
        </w:tc>
        <w:tc>
          <w:tcPr>
            <w:tcW w:w="853" w:type="dxa"/>
            <w:vAlign w:val="center"/>
          </w:tcPr>
          <w:p>
            <w:pPr>
              <w:pStyle w:val="59"/>
            </w:pPr>
            <w: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pStyle w:val="59"/>
            </w:pPr>
            <w:r>
              <w:t>c</w:t>
            </w:r>
            <w:r>
              <w:rPr>
                <w:vertAlign w:val="subscript"/>
              </w:rPr>
              <w:t>2</w:t>
            </w:r>
          </w:p>
        </w:tc>
        <w:tc>
          <w:tcPr>
            <w:tcW w:w="852" w:type="dxa"/>
            <w:vAlign w:val="center"/>
          </w:tcPr>
          <w:p>
            <w:pPr>
              <w:pStyle w:val="59"/>
            </w:pPr>
            <w:r>
              <w:t>14.3</w:t>
            </w:r>
          </w:p>
        </w:tc>
        <w:tc>
          <w:tcPr>
            <w:tcW w:w="852" w:type="dxa"/>
            <w:vAlign w:val="center"/>
          </w:tcPr>
          <w:p>
            <w:pPr>
              <w:pStyle w:val="59"/>
            </w:pPr>
            <w:r>
              <w:t>13.9</w:t>
            </w:r>
          </w:p>
        </w:tc>
        <w:tc>
          <w:tcPr>
            <w:tcW w:w="852" w:type="dxa"/>
            <w:vAlign w:val="center"/>
          </w:tcPr>
          <w:p>
            <w:pPr>
              <w:pStyle w:val="59"/>
            </w:pPr>
            <w:r>
              <w:t>13.6</w:t>
            </w:r>
          </w:p>
        </w:tc>
        <w:tc>
          <w:tcPr>
            <w:tcW w:w="852" w:type="dxa"/>
            <w:vAlign w:val="center"/>
          </w:tcPr>
          <w:p>
            <w:pPr>
              <w:pStyle w:val="59"/>
            </w:pPr>
            <w:r>
              <w:t>13.1</w:t>
            </w:r>
          </w:p>
        </w:tc>
        <w:tc>
          <w:tcPr>
            <w:tcW w:w="852" w:type="dxa"/>
            <w:vAlign w:val="center"/>
          </w:tcPr>
          <w:p>
            <w:pPr>
              <w:pStyle w:val="59"/>
            </w:pPr>
            <w:r>
              <w:t>12.4</w:t>
            </w:r>
          </w:p>
        </w:tc>
        <w:tc>
          <w:tcPr>
            <w:tcW w:w="852" w:type="dxa"/>
            <w:vAlign w:val="center"/>
          </w:tcPr>
          <w:p>
            <w:pPr>
              <w:pStyle w:val="59"/>
            </w:pPr>
            <w:r>
              <w:t>11.5</w:t>
            </w:r>
          </w:p>
        </w:tc>
        <w:tc>
          <w:tcPr>
            <w:tcW w:w="852" w:type="dxa"/>
            <w:vAlign w:val="center"/>
          </w:tcPr>
          <w:p>
            <w:pPr>
              <w:pStyle w:val="59"/>
            </w:pPr>
            <w:r>
              <w:t>10.6</w:t>
            </w:r>
          </w:p>
        </w:tc>
        <w:tc>
          <w:tcPr>
            <w:tcW w:w="853" w:type="dxa"/>
            <w:vAlign w:val="center"/>
          </w:tcPr>
          <w:p>
            <w:pPr>
              <w:pStyle w:val="59"/>
            </w:pPr>
            <w:r>
              <w:t>9.6</w:t>
            </w:r>
          </w:p>
        </w:tc>
        <w:tc>
          <w:tcPr>
            <w:tcW w:w="853" w:type="dxa"/>
            <w:vAlign w:val="center"/>
          </w:tcPr>
          <w:p>
            <w:pPr>
              <w:pStyle w:val="59"/>
            </w:pPr>
            <w:r>
              <w:t>8.4</w:t>
            </w:r>
          </w:p>
        </w:tc>
      </w:tr>
    </w:tbl>
    <w:p>
      <w:pPr>
        <w:pStyle w:val="59"/>
        <w:ind w:firstLine="630"/>
        <w:rPr>
          <w:lang w:bidi="en-US"/>
        </w:rPr>
      </w:pPr>
    </w:p>
    <w:p>
      <w:pPr>
        <w:pStyle w:val="8"/>
        <w:ind w:firstLine="420"/>
        <w:rPr>
          <w:b w:val="0"/>
          <w:lang w:bidi="en-US"/>
        </w:rPr>
      </w:pPr>
      <w:r>
        <w:rPr>
          <w:rFonts w:hint="eastAsia"/>
          <w:b w:val="0"/>
          <w:lang w:bidi="en-US"/>
        </w:rPr>
        <w:t>表</w:t>
      </w:r>
      <w:r>
        <w:rPr>
          <w:b w:val="0"/>
          <w:lang w:bidi="en-US"/>
        </w:rPr>
        <w:t>4.6.2-2</w:t>
      </w:r>
      <w:r>
        <w:rPr>
          <w:b w:val="0"/>
          <w:i/>
          <w:lang w:bidi="en-US"/>
        </w:rPr>
        <w:t xml:space="preserve"> n</w:t>
      </w:r>
      <w:r>
        <w:rPr>
          <w:rFonts w:hint="eastAsia"/>
          <w:b w:val="0"/>
          <w:lang w:bidi="en-US"/>
        </w:rPr>
        <w:t>值与</w:t>
      </w:r>
      <w:r>
        <w:rPr>
          <w:b w:val="0"/>
          <w:i/>
          <w:lang w:bidi="en-US"/>
        </w:rPr>
        <w:t>K</w:t>
      </w:r>
      <w:r>
        <w:rPr>
          <w:rFonts w:hint="eastAsia"/>
          <w:b w:val="0"/>
          <w:lang w:bidi="en-US"/>
        </w:rPr>
        <w:t>值的关系表</w:t>
      </w:r>
    </w:p>
    <w:tbl>
      <w:tblPr>
        <w:tblStyle w:val="27"/>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046"/>
        <w:gridCol w:w="993"/>
        <w:gridCol w:w="992"/>
        <w:gridCol w:w="1134"/>
        <w:gridCol w:w="127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pStyle w:val="59"/>
              <w:rPr>
                <w:lang w:bidi="en-US"/>
              </w:rPr>
            </w:pPr>
            <w:r>
              <w:rPr>
                <w:lang w:bidi="en-US"/>
              </w:rPr>
              <w:t>n</w:t>
            </w:r>
          </w:p>
        </w:tc>
        <w:tc>
          <w:tcPr>
            <w:tcW w:w="1046" w:type="dxa"/>
          </w:tcPr>
          <w:p>
            <w:pPr>
              <w:pStyle w:val="59"/>
              <w:rPr>
                <w:lang w:bidi="en-US"/>
              </w:rPr>
            </w:pPr>
            <w:r>
              <w:rPr>
                <w:lang w:bidi="en-US"/>
              </w:rPr>
              <w:t>1</w:t>
            </w:r>
          </w:p>
        </w:tc>
        <w:tc>
          <w:tcPr>
            <w:tcW w:w="993" w:type="dxa"/>
          </w:tcPr>
          <w:p>
            <w:pPr>
              <w:pStyle w:val="59"/>
              <w:rPr>
                <w:lang w:bidi="en-US"/>
              </w:rPr>
            </w:pPr>
            <w:r>
              <w:rPr>
                <w:lang w:bidi="en-US"/>
              </w:rPr>
              <w:t>2~3</w:t>
            </w:r>
          </w:p>
        </w:tc>
        <w:tc>
          <w:tcPr>
            <w:tcW w:w="992" w:type="dxa"/>
          </w:tcPr>
          <w:p>
            <w:pPr>
              <w:pStyle w:val="59"/>
              <w:rPr>
                <w:lang w:bidi="en-US"/>
              </w:rPr>
            </w:pPr>
            <w:r>
              <w:rPr>
                <w:lang w:bidi="en-US"/>
              </w:rPr>
              <w:t>4~6</w:t>
            </w:r>
          </w:p>
        </w:tc>
        <w:tc>
          <w:tcPr>
            <w:tcW w:w="1134" w:type="dxa"/>
          </w:tcPr>
          <w:p>
            <w:pPr>
              <w:pStyle w:val="59"/>
              <w:rPr>
                <w:lang w:bidi="en-US"/>
              </w:rPr>
            </w:pPr>
            <w:r>
              <w:rPr>
                <w:lang w:bidi="en-US"/>
              </w:rPr>
              <w:t>7~10</w:t>
            </w:r>
          </w:p>
        </w:tc>
        <w:tc>
          <w:tcPr>
            <w:tcW w:w="1276" w:type="dxa"/>
          </w:tcPr>
          <w:p>
            <w:pPr>
              <w:pStyle w:val="59"/>
              <w:rPr>
                <w:lang w:bidi="en-US"/>
              </w:rPr>
            </w:pPr>
            <w:r>
              <w:rPr>
                <w:lang w:bidi="en-US"/>
              </w:rPr>
              <w:t>11~20</w:t>
            </w:r>
          </w:p>
        </w:tc>
        <w:tc>
          <w:tcPr>
            <w:tcW w:w="1559" w:type="dxa"/>
          </w:tcPr>
          <w:p>
            <w:pPr>
              <w:pStyle w:val="59"/>
              <w:rPr>
                <w:lang w:bidi="en-US"/>
              </w:rPr>
            </w:pPr>
            <w:r>
              <w:rPr>
                <w:lang w:bidi="en-US"/>
              </w:rPr>
              <w:t>25</w:t>
            </w:r>
            <w:r>
              <w:rPr>
                <w:rFonts w:hint="eastAsia"/>
                <w:lang w:bidi="en-US"/>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pStyle w:val="59"/>
              <w:rPr>
                <w:lang w:bidi="en-US"/>
              </w:rPr>
            </w:pPr>
            <w:r>
              <w:rPr>
                <w:lang w:bidi="en-US"/>
              </w:rPr>
              <w:t>K</w:t>
            </w:r>
          </w:p>
        </w:tc>
        <w:tc>
          <w:tcPr>
            <w:tcW w:w="1046" w:type="dxa"/>
          </w:tcPr>
          <w:p>
            <w:pPr>
              <w:pStyle w:val="59"/>
              <w:rPr>
                <w:lang w:bidi="en-US"/>
              </w:rPr>
            </w:pPr>
            <w:r>
              <w:rPr>
                <w:lang w:bidi="en-US"/>
              </w:rPr>
              <w:t>1.0</w:t>
            </w:r>
          </w:p>
        </w:tc>
        <w:tc>
          <w:tcPr>
            <w:tcW w:w="993" w:type="dxa"/>
          </w:tcPr>
          <w:p>
            <w:pPr>
              <w:pStyle w:val="59"/>
              <w:rPr>
                <w:lang w:bidi="en-US"/>
              </w:rPr>
            </w:pPr>
            <w:r>
              <w:rPr>
                <w:lang w:bidi="en-US"/>
              </w:rPr>
              <w:t>0.9</w:t>
            </w:r>
          </w:p>
        </w:tc>
        <w:tc>
          <w:tcPr>
            <w:tcW w:w="992" w:type="dxa"/>
          </w:tcPr>
          <w:p>
            <w:pPr>
              <w:pStyle w:val="59"/>
              <w:rPr>
                <w:lang w:bidi="en-US"/>
              </w:rPr>
            </w:pPr>
            <w:r>
              <w:rPr>
                <w:lang w:bidi="en-US"/>
              </w:rPr>
              <w:t>0.8</w:t>
            </w:r>
          </w:p>
        </w:tc>
        <w:tc>
          <w:tcPr>
            <w:tcW w:w="1134" w:type="dxa"/>
          </w:tcPr>
          <w:p>
            <w:pPr>
              <w:pStyle w:val="59"/>
              <w:rPr>
                <w:lang w:bidi="en-US"/>
              </w:rPr>
            </w:pPr>
            <w:r>
              <w:rPr>
                <w:lang w:bidi="en-US"/>
              </w:rPr>
              <w:t>0.7</w:t>
            </w:r>
          </w:p>
        </w:tc>
        <w:tc>
          <w:tcPr>
            <w:tcW w:w="1276" w:type="dxa"/>
          </w:tcPr>
          <w:p>
            <w:pPr>
              <w:pStyle w:val="59"/>
              <w:rPr>
                <w:lang w:bidi="en-US"/>
              </w:rPr>
            </w:pPr>
            <w:r>
              <w:rPr>
                <w:lang w:bidi="en-US"/>
              </w:rPr>
              <w:t>0.6</w:t>
            </w:r>
          </w:p>
        </w:tc>
        <w:tc>
          <w:tcPr>
            <w:tcW w:w="1559" w:type="dxa"/>
          </w:tcPr>
          <w:p>
            <w:pPr>
              <w:pStyle w:val="59"/>
              <w:rPr>
                <w:lang w:bidi="en-US"/>
              </w:rPr>
            </w:pPr>
            <w:r>
              <w:rPr>
                <w:lang w:bidi="en-US"/>
              </w:rPr>
              <w:t>0.5</w:t>
            </w:r>
          </w:p>
        </w:tc>
      </w:tr>
    </w:tbl>
    <w:p>
      <w:pPr>
        <w:pStyle w:val="4"/>
      </w:pPr>
      <w:bookmarkStart w:id="207" w:name="_Toc77763481"/>
      <w:bookmarkStart w:id="208" w:name="_Toc71191474"/>
      <w:bookmarkStart w:id="209" w:name="_Toc104109430"/>
      <w:r>
        <w:rPr>
          <w:rFonts w:hint="eastAsia"/>
        </w:rPr>
        <w:t>采用空气吸泥加高压射水破土时，单台气举取土设备所供应的流量</w:t>
      </w:r>
      <w:r>
        <w:rPr>
          <w:i/>
        </w:rPr>
        <w:t>Q</w:t>
      </w:r>
      <w:r>
        <w:rPr>
          <w:rFonts w:hint="eastAsia"/>
        </w:rPr>
        <w:t>应按下列公式计算：</w:t>
      </w:r>
      <w:bookmarkEnd w:id="207"/>
      <w:bookmarkEnd w:id="208"/>
      <w:bookmarkEnd w:id="209"/>
    </w:p>
    <w:tbl>
      <w:tblPr>
        <w:tblStyle w:val="2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54"/>
        <w:gridCol w:w="14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54" w:type="dxa"/>
          </w:tcPr>
          <w:p>
            <w:pPr>
              <w:pStyle w:val="59"/>
              <w:rPr>
                <w:lang w:bidi="en-US"/>
              </w:rPr>
            </w:pPr>
            <w:r>
              <w:rPr>
                <w:position w:val="-10"/>
              </w:rPr>
              <w:object>
                <v:shape id="_x0000_i1095" o:spt="75" type="#_x0000_t75" style="height:21.75pt;width:96.45pt;" o:ole="t" filled="f" o:preferrelative="t" stroked="f" coordsize="21600,21600">
                  <v:path/>
                  <v:fill on="f" focussize="0,0"/>
                  <v:stroke on="f" joinstyle="miter"/>
                  <v:imagedata r:id="rId162" o:title=""/>
                  <o:lock v:ext="edit" aspectratio="t"/>
                  <w10:wrap type="none"/>
                  <w10:anchorlock/>
                </v:shape>
                <o:OLEObject Type="Embed" ProgID="Equation.DSMT4" ShapeID="_x0000_i1095" DrawAspect="Content" ObjectID="_1468075795" r:id="rId161">
                  <o:LockedField>false</o:LockedField>
                </o:OLEObject>
              </w:object>
            </w:r>
          </w:p>
        </w:tc>
        <w:tc>
          <w:tcPr>
            <w:tcW w:w="1468" w:type="dxa"/>
            <w:vAlign w:val="center"/>
          </w:tcPr>
          <w:p>
            <w:pPr>
              <w:pStyle w:val="59"/>
              <w:rPr>
                <w:szCs w:val="24"/>
              </w:rPr>
            </w:pPr>
            <w:r>
              <w:rPr>
                <w:rFonts w:hint="eastAsia"/>
                <w:szCs w:val="24"/>
              </w:rPr>
              <w:t>（</w:t>
            </w:r>
            <w:r>
              <w:rPr>
                <w:szCs w:val="24"/>
              </w:rPr>
              <w:t>4.6.</w:t>
            </w:r>
            <w:r>
              <w:rPr>
                <w:rFonts w:hint="eastAsia"/>
                <w:szCs w:val="24"/>
              </w:rPr>
              <w:t>3）</w:t>
            </w:r>
          </w:p>
        </w:tc>
      </w:tr>
    </w:tbl>
    <w:p>
      <w:pPr>
        <w:pStyle w:val="54"/>
        <w:ind w:firstLine="0" w:firstLineChars="0"/>
        <w:rPr>
          <w:lang w:val="en-US"/>
        </w:rPr>
      </w:pPr>
      <w:r>
        <w:rPr>
          <w:rFonts w:hint="eastAsia"/>
        </w:rPr>
        <w:t>式中</w:t>
      </w:r>
      <w:r>
        <w:rPr>
          <w:rFonts w:hint="eastAsia"/>
          <w:lang w:val="en-US"/>
        </w:rPr>
        <w:t>：</w:t>
      </w:r>
    </w:p>
    <w:p>
      <w:pPr>
        <w:pStyle w:val="54"/>
        <w:rPr>
          <w:lang w:val="en-US"/>
        </w:rPr>
      </w:pPr>
      <w:r>
        <w:rPr>
          <w:i/>
          <w:iCs/>
          <w:lang w:val="en-US"/>
        </w:rPr>
        <w:t>Q</w:t>
      </w:r>
      <w:r>
        <w:rPr>
          <w:sz w:val="21"/>
          <w:lang w:val="en-US"/>
        </w:rPr>
        <w:t>——</w:t>
      </w:r>
      <w:r>
        <w:rPr>
          <w:rFonts w:hint="eastAsia"/>
        </w:rPr>
        <w:t>水射流流量</w:t>
      </w:r>
      <w:r>
        <w:rPr>
          <w:rFonts w:hint="eastAsia"/>
          <w:lang w:val="en-US"/>
        </w:rPr>
        <w:t>（</w:t>
      </w:r>
      <w:r>
        <w:rPr>
          <w:lang w:val="en-US"/>
        </w:rPr>
        <w:t>L/min</w:t>
      </w:r>
      <w:r>
        <w:rPr>
          <w:rFonts w:hint="eastAsia"/>
          <w:lang w:val="en-US"/>
        </w:rPr>
        <w:t>）；</w:t>
      </w:r>
    </w:p>
    <w:p>
      <w:pPr>
        <w:pStyle w:val="54"/>
      </w:pPr>
      <w:r>
        <w:rPr>
          <w:i/>
          <w:iCs/>
        </w:rPr>
        <w:t>n</w:t>
      </w:r>
      <w:r>
        <w:rPr>
          <w:sz w:val="21"/>
        </w:rPr>
        <w:t>——</w:t>
      </w:r>
      <w:r>
        <w:rPr>
          <w:rFonts w:hint="eastAsia"/>
        </w:rPr>
        <w:t>喷嘴数量（个）；</w:t>
      </w:r>
    </w:p>
    <w:p>
      <w:pPr>
        <w:pStyle w:val="54"/>
      </w:pPr>
      <w:r>
        <w:rPr>
          <w:i/>
        </w:rPr>
        <w:t>μ</w:t>
      </w:r>
      <w:r>
        <w:rPr>
          <w:sz w:val="21"/>
        </w:rPr>
        <w:t>——</w:t>
      </w:r>
      <w:r>
        <w:rPr>
          <w:rFonts w:hint="eastAsia"/>
        </w:rPr>
        <w:t>流量系数，一般取</w:t>
      </w:r>
      <w:r>
        <w:t>0.95</w:t>
      </w:r>
      <w:r>
        <w:rPr>
          <w:rFonts w:hint="eastAsia"/>
        </w:rPr>
        <w:t>；</w:t>
      </w:r>
    </w:p>
    <w:p>
      <w:pPr>
        <w:pStyle w:val="54"/>
      </w:pPr>
      <w:r>
        <w:rPr>
          <w:i/>
          <w:iCs/>
        </w:rPr>
        <w:t>d</w:t>
      </w:r>
      <w:r>
        <w:rPr>
          <w:sz w:val="21"/>
        </w:rPr>
        <w:t>——</w:t>
      </w:r>
      <w:r>
        <w:rPr>
          <w:rFonts w:hint="eastAsia"/>
        </w:rPr>
        <w:t>喷嘴直径（</w:t>
      </w:r>
      <w:r>
        <w:t>mm</w:t>
      </w:r>
      <w:r>
        <w:rPr>
          <w:rFonts w:hint="eastAsia"/>
        </w:rPr>
        <w:t>）；</w:t>
      </w:r>
    </w:p>
    <w:p>
      <w:pPr>
        <w:pStyle w:val="54"/>
      </w:pPr>
      <w:r>
        <w:rPr>
          <w:i/>
          <w:iCs/>
        </w:rPr>
        <w:t>P</w:t>
      </w:r>
      <w:r>
        <w:rPr>
          <w:sz w:val="21"/>
        </w:rPr>
        <w:t>——</w:t>
      </w:r>
      <w:r>
        <w:rPr>
          <w:rFonts w:hint="eastAsia"/>
        </w:rPr>
        <w:t>射流水压（</w:t>
      </w:r>
      <w:r>
        <w:t>MPa</w:t>
      </w:r>
      <w:r>
        <w:rPr>
          <w:rFonts w:hint="eastAsia"/>
        </w:rPr>
        <w:t>）。</w:t>
      </w:r>
    </w:p>
    <w:p>
      <w:pPr>
        <w:pStyle w:val="54"/>
        <w:ind w:firstLine="240" w:firstLineChars="100"/>
        <w:rPr>
          <w:lang w:bidi="en-US"/>
        </w:rPr>
      </w:pPr>
    </w:p>
    <w:p>
      <w:pPr>
        <w:ind w:firstLine="480"/>
        <w:sectPr>
          <w:pgSz w:w="11906" w:h="16838"/>
          <w:pgMar w:top="1440" w:right="1800" w:bottom="1440" w:left="1800" w:header="851" w:footer="992" w:gutter="0"/>
          <w:cols w:space="425" w:num="1"/>
          <w:docGrid w:type="lines" w:linePitch="312" w:charSpace="0"/>
        </w:sectPr>
      </w:pPr>
    </w:p>
    <w:p>
      <w:pPr>
        <w:pStyle w:val="2"/>
      </w:pPr>
      <w:bookmarkStart w:id="210" w:name="_Toc112317325"/>
      <w:r>
        <w:rPr>
          <w:rFonts w:hint="eastAsia"/>
        </w:rPr>
        <w:t>水中沉井基础施工</w:t>
      </w:r>
      <w:bookmarkEnd w:id="210"/>
    </w:p>
    <w:p>
      <w:pPr>
        <w:pStyle w:val="3"/>
        <w:spacing w:before="312"/>
      </w:pPr>
      <w:bookmarkStart w:id="211" w:name="_Toc69201719"/>
      <w:bookmarkStart w:id="212" w:name="_Toc112317326"/>
      <w:r>
        <w:rPr>
          <w:rFonts w:hint="eastAsia"/>
        </w:rPr>
        <w:t>一般</w:t>
      </w:r>
      <w:bookmarkEnd w:id="211"/>
      <w:r>
        <w:rPr>
          <w:rFonts w:hint="eastAsia"/>
        </w:rPr>
        <w:t>规定</w:t>
      </w:r>
      <w:bookmarkEnd w:id="212"/>
    </w:p>
    <w:p>
      <w:pPr>
        <w:pStyle w:val="4"/>
      </w:pPr>
      <w:bookmarkStart w:id="213" w:name="_Toc77763484"/>
      <w:bookmarkStart w:id="214" w:name="_Toc104109433"/>
      <w:r>
        <w:rPr>
          <w:rFonts w:hint="eastAsia"/>
        </w:rPr>
        <w:t>水中沉井施工前，应对施工区域水文、航道、地质条件进行详细调查，调查内容应包含施工区域水位、流量、流速、涨落潮、波浪、冲刷情况、航道等级、航道边界线、水下地形、水下管线及障碍物、地质分层等；需要在施工中度汛、度台、度凌的沉井应制订安全措施，确保安全。</w:t>
      </w:r>
      <w:bookmarkEnd w:id="213"/>
      <w:bookmarkEnd w:id="214"/>
    </w:p>
    <w:p>
      <w:pPr>
        <w:pStyle w:val="4"/>
      </w:pPr>
      <w:r>
        <w:rPr>
          <w:rFonts w:hint="eastAsia"/>
        </w:rPr>
        <w:t>地质勘察和钻探应符合下列规定：</w:t>
      </w:r>
    </w:p>
    <w:p>
      <w:pPr>
        <w:ind w:firstLine="482"/>
      </w:pPr>
      <w:r>
        <w:rPr>
          <w:b/>
        </w:rPr>
        <w:t>1</w:t>
      </w:r>
      <w:r>
        <w:rPr>
          <w:rFonts w:hint="eastAsia"/>
        </w:rPr>
        <w:t xml:space="preserve">  地质勘探钻孔数量、孔位及深度应满足能够全面掌握地层情况的要求；大跨径和重要的桥梁基础，每个基础的钻孔数不得少于</w:t>
      </w:r>
      <w:r>
        <w:t>4</w:t>
      </w:r>
      <w:r>
        <w:rPr>
          <w:rFonts w:hint="eastAsia"/>
        </w:rPr>
        <w:t>个，应能覆盖沉井设计区域，如沉井下沉至岩层，至少应在沉井四角及中间各钻一孔；钻孔深度一般应达到沉井预定下沉深度以下</w:t>
      </w:r>
      <w:r>
        <w:t>15m~25m</w:t>
      </w:r>
      <w:r>
        <w:rPr>
          <w:rFonts w:hint="eastAsia"/>
        </w:rPr>
        <w:t>；</w:t>
      </w:r>
    </w:p>
    <w:p>
      <w:pPr>
        <w:ind w:firstLine="482"/>
      </w:pPr>
      <w:r>
        <w:rPr>
          <w:b/>
        </w:rPr>
        <w:t>2</w:t>
      </w:r>
      <w:r>
        <w:t xml:space="preserve">  </w:t>
      </w:r>
      <w:r>
        <w:rPr>
          <w:rFonts w:hint="eastAsia"/>
        </w:rPr>
        <w:t>软土地层还应采用静力触探的方式进行钻孔，勘探孔应穿透软弱土层或达到预计控制深度。</w:t>
      </w:r>
    </w:p>
    <w:p>
      <w:pPr>
        <w:ind w:firstLine="482"/>
      </w:pPr>
      <w:r>
        <w:rPr>
          <w:b/>
        </w:rPr>
        <w:t>3</w:t>
      </w:r>
      <w:r>
        <w:t xml:space="preserve">  </w:t>
      </w:r>
      <w:r>
        <w:rPr>
          <w:rFonts w:hint="eastAsia"/>
        </w:rPr>
        <w:t>墩位处水下地形起伏较大时，宜进行水下地形扫测，绘制详细的地形图</w:t>
      </w:r>
      <w:r>
        <w:t>。</w:t>
      </w:r>
    </w:p>
    <w:p>
      <w:pPr>
        <w:pStyle w:val="4"/>
      </w:pPr>
      <w:bookmarkStart w:id="215" w:name="_Toc77763485"/>
      <w:bookmarkStart w:id="216" w:name="_Toc104109434"/>
      <w:r>
        <w:rPr>
          <w:rFonts w:hint="eastAsia"/>
        </w:rPr>
        <w:t>水文</w:t>
      </w:r>
      <w:r>
        <w:t>条件复杂</w:t>
      </w:r>
      <w:r>
        <w:rPr>
          <w:rFonts w:hint="eastAsia"/>
        </w:rPr>
        <w:t>的沉井施工前，应评估沉井施工全过程河床冲刷情况，宜采用物理模型试验方法进行研究，必要时应采取防护措施。</w:t>
      </w:r>
      <w:bookmarkEnd w:id="215"/>
      <w:bookmarkEnd w:id="216"/>
    </w:p>
    <w:p>
      <w:pPr>
        <w:pStyle w:val="4"/>
      </w:pPr>
      <w:bookmarkStart w:id="217" w:name="_Toc77763486"/>
      <w:bookmarkStart w:id="218" w:name="_Toc104109435"/>
      <w:r>
        <w:rPr>
          <w:rFonts w:hint="eastAsia"/>
        </w:rPr>
        <w:t>当原始河床泥面高差过大、沉井前期取土下沉困难时，宜在</w:t>
      </w:r>
      <w:r>
        <w:t>沉井定位着床前</w:t>
      </w:r>
      <w:r>
        <w:rPr>
          <w:rFonts w:hint="eastAsia"/>
        </w:rPr>
        <w:t>进行整平、开挖等河床预处理工作，预处理深度及范围应避免加剧施工期及运营期的基础局部冲刷。</w:t>
      </w:r>
      <w:bookmarkEnd w:id="217"/>
      <w:bookmarkEnd w:id="218"/>
    </w:p>
    <w:p>
      <w:pPr>
        <w:pStyle w:val="4"/>
      </w:pPr>
      <w:bookmarkStart w:id="219" w:name="_Toc77763487"/>
      <w:bookmarkStart w:id="220" w:name="_Toc104109436"/>
      <w:r>
        <w:rPr>
          <w:rFonts w:hint="eastAsia"/>
        </w:rPr>
        <w:t>首节钢壳沉井高度应根据着床施工期对应水文条件下最大冲刷水深、首次下沉入土稳定深度、接高安全干舷高度、安全储备高度综合确定，确保钢沉井着床后的稳定。</w:t>
      </w:r>
      <w:bookmarkEnd w:id="219"/>
      <w:bookmarkEnd w:id="220"/>
    </w:p>
    <w:p>
      <w:pPr>
        <w:pStyle w:val="4"/>
      </w:pPr>
      <w:bookmarkStart w:id="221" w:name="_Toc77763488"/>
      <w:bookmarkStart w:id="222" w:name="_Toc104109437"/>
      <w:r>
        <w:rPr>
          <w:rFonts w:hint="eastAsia"/>
        </w:rPr>
        <w:t>钢沉井制作场地和下水方案应根据河岸地形、运输条件、航道条件及设备状况制定，并进行技术经济比较；钢沉井首节可在干坞内拼装，也可在岸上拼装后下水；选择在岸上组拼首节钢沉井的，需制定详细的下水方案。</w:t>
      </w:r>
      <w:bookmarkEnd w:id="221"/>
      <w:bookmarkEnd w:id="222"/>
    </w:p>
    <w:p>
      <w:pPr>
        <w:pStyle w:val="4"/>
        <w:rPr>
          <w:b/>
        </w:rPr>
      </w:pPr>
      <w:bookmarkStart w:id="223" w:name="_Toc77763492"/>
      <w:bookmarkStart w:id="224" w:name="_Toc104109441"/>
      <w:r>
        <w:rPr>
          <w:rFonts w:hint="eastAsia"/>
        </w:rPr>
        <w:t>沉井着床施工应考虑着床时机及着床施工方式。</w:t>
      </w:r>
      <w:bookmarkEnd w:id="223"/>
      <w:bookmarkEnd w:id="224"/>
    </w:p>
    <w:p>
      <w:pPr>
        <w:pStyle w:val="4"/>
      </w:pPr>
      <w:bookmarkStart w:id="225" w:name="_Toc77763493"/>
      <w:bookmarkStart w:id="226" w:name="_Toc104109442"/>
      <w:r>
        <w:rPr>
          <w:rFonts w:hint="eastAsia"/>
        </w:rPr>
        <w:t>沉井水上接高、隔舱混凝土浇筑、取土下沉应综合考虑</w:t>
      </w:r>
      <w:r>
        <w:rPr>
          <w:rFonts w:cs="Times New Roman"/>
        </w:rPr>
        <w:t>干舷高度、水头差、沉井重心高度、设备安拆、取土设备效率等因素</w:t>
      </w:r>
      <w:r>
        <w:rPr>
          <w:rFonts w:hint="eastAsia"/>
        </w:rPr>
        <w:t>，分多个循环进行，不宜一次性全部接高后再取土下沉。</w:t>
      </w:r>
      <w:bookmarkEnd w:id="225"/>
      <w:bookmarkEnd w:id="226"/>
    </w:p>
    <w:p>
      <w:pPr>
        <w:pStyle w:val="3"/>
        <w:spacing w:before="312"/>
      </w:pPr>
      <w:bookmarkStart w:id="227" w:name="_Toc69201720"/>
      <w:bookmarkStart w:id="228" w:name="_Toc112317327"/>
      <w:r>
        <w:rPr>
          <w:rFonts w:hint="eastAsia"/>
        </w:rPr>
        <w:t>钢沉井制造及组装</w:t>
      </w:r>
      <w:bookmarkEnd w:id="227"/>
      <w:bookmarkEnd w:id="228"/>
    </w:p>
    <w:p>
      <w:pPr>
        <w:pStyle w:val="4"/>
      </w:pPr>
      <w:bookmarkStart w:id="229" w:name="_Toc77763496"/>
      <w:bookmarkStart w:id="230" w:name="_Toc104109445"/>
      <w:r>
        <w:rPr>
          <w:rFonts w:hint="eastAsia"/>
        </w:rPr>
        <w:t>钢沉井单元件制造应符合下列规定：</w:t>
      </w:r>
      <w:bookmarkEnd w:id="229"/>
      <w:bookmarkEnd w:id="230"/>
    </w:p>
    <w:p>
      <w:pPr>
        <w:pStyle w:val="5"/>
        <w:ind w:firstLine="480"/>
      </w:pPr>
      <w:r>
        <w:rPr>
          <w:rFonts w:hint="eastAsia"/>
        </w:rPr>
        <w:t>钢壳沉井宜选择具有</w:t>
      </w:r>
      <w:r>
        <w:t>大型钢结构制造能力的厂家</w:t>
      </w:r>
      <w:r>
        <w:rPr>
          <w:rFonts w:hint="eastAsia"/>
        </w:rPr>
        <w:t>在厂内加工制作</w:t>
      </w:r>
      <w:r>
        <w:rPr>
          <w:rFonts w:hint="eastAsia"/>
          <w:szCs w:val="21"/>
        </w:rPr>
        <w:t>；</w:t>
      </w:r>
    </w:p>
    <w:p>
      <w:pPr>
        <w:pStyle w:val="5"/>
        <w:ind w:firstLine="480"/>
      </w:pPr>
      <w:r>
        <w:rPr>
          <w:rFonts w:hint="eastAsia"/>
        </w:rPr>
        <w:t>施工前应编制制造、焊接工艺方案，焊接工艺应进行试验验证；除主体结构外，方案中应包含沉井附属结构和施工所需临时设施；</w:t>
      </w:r>
    </w:p>
    <w:p>
      <w:pPr>
        <w:pStyle w:val="5"/>
        <w:ind w:firstLine="480"/>
      </w:pPr>
      <w:r>
        <w:rPr>
          <w:rFonts w:hint="eastAsia"/>
        </w:rPr>
        <w:t>根据钢沉井平面结构特点、设计要求、起重能力、运输条件及组装方法，可把每个节段划分为若干个块段分别制作；钢沉井下料前应先完成原材料检验、焊接材料检验、钢材预处理等前期准备工作；</w:t>
      </w:r>
    </w:p>
    <w:p>
      <w:pPr>
        <w:pStyle w:val="5"/>
        <w:ind w:firstLine="480"/>
      </w:pPr>
      <w:r>
        <w:rPr>
          <w:rFonts w:hint="eastAsia"/>
        </w:rPr>
        <w:t>零部件放样宜采用计算机三维放样技术进行，零件下料宜采用数控技术进行；</w:t>
      </w:r>
    </w:p>
    <w:p>
      <w:pPr>
        <w:pStyle w:val="5"/>
        <w:ind w:firstLine="480"/>
      </w:pPr>
      <w:r>
        <w:rPr>
          <w:rFonts w:hint="eastAsia"/>
        </w:rPr>
        <w:t>单元件宜在胎架上制作，胎架应具有足够的强度和刚度，满足单元件拼装的精度要求和自身结构强度要求；单元件几何外形尺寸、对角线差、平整度等均需满足设计及相关规范要求；单元件吊装及存放时应满足结构刚度要求，可增加临时连接杆件以提高刚度；</w:t>
      </w:r>
    </w:p>
    <w:p>
      <w:pPr>
        <w:pStyle w:val="5"/>
        <w:ind w:firstLine="480"/>
      </w:pPr>
      <w:r>
        <w:rPr>
          <w:rFonts w:hint="eastAsia"/>
        </w:rPr>
        <w:t>块段应在胎架上进行拼装，遵循由下向上，先控制后自由的原则进行拼装；</w:t>
      </w:r>
    </w:p>
    <w:p>
      <w:pPr>
        <w:pStyle w:val="5"/>
        <w:ind w:firstLine="480"/>
      </w:pPr>
      <w:r>
        <w:rPr>
          <w:rFonts w:hint="eastAsia"/>
        </w:rPr>
        <w:t>块段出厂前应根据现行《钢结构工程施工质量验收规范》（</w:t>
      </w:r>
      <w:r>
        <w:t>GB50205</w:t>
      </w:r>
      <w:r>
        <w:rPr>
          <w:rFonts w:hint="eastAsia"/>
        </w:rPr>
        <w:t>）进行验收，并进行焊缝质量和密闭性检验。</w:t>
      </w:r>
    </w:p>
    <w:p>
      <w:pPr>
        <w:pStyle w:val="4"/>
      </w:pPr>
      <w:bookmarkStart w:id="231" w:name="_Toc77763497"/>
      <w:bookmarkStart w:id="232" w:name="_Toc104109446"/>
      <w:r>
        <w:rPr>
          <w:rFonts w:hint="eastAsia"/>
        </w:rPr>
        <w:t>首节钢沉井的组装应符合下列规定：</w:t>
      </w:r>
      <w:bookmarkEnd w:id="231"/>
      <w:bookmarkEnd w:id="232"/>
    </w:p>
    <w:p>
      <w:pPr>
        <w:pStyle w:val="5"/>
        <w:ind w:firstLine="480"/>
      </w:pPr>
      <w:r>
        <w:rPr>
          <w:rFonts w:hint="eastAsia"/>
        </w:rPr>
        <w:t>组装可根据下水方案选择在岸上、驳船上或墩位处平台上进行；</w:t>
      </w:r>
    </w:p>
    <w:p>
      <w:pPr>
        <w:pStyle w:val="5"/>
        <w:ind w:firstLine="480"/>
      </w:pPr>
      <w:r>
        <w:rPr>
          <w:rFonts w:hint="eastAsia"/>
        </w:rPr>
        <w:t>组装场地应具有足够的强度和刚度，满足结构安全和钢沉井组拼精度要求；</w:t>
      </w:r>
    </w:p>
    <w:p>
      <w:pPr>
        <w:pStyle w:val="5"/>
        <w:ind w:firstLine="480"/>
      </w:pPr>
      <w:r>
        <w:rPr>
          <w:rFonts w:hint="eastAsia"/>
        </w:rPr>
        <w:t>最</w:t>
      </w:r>
      <w:r>
        <w:t>底部</w:t>
      </w:r>
      <w:r>
        <w:rPr>
          <w:rFonts w:hint="eastAsia"/>
        </w:rPr>
        <w:t>节段组装前应先放出刃脚底面纵横向中心线，刃脚外缘轮廓线及检查线，并根据刃脚结构特点及块段形式设置合理的拼装托架作支承。组拼顺序应结合分块方式、结构形状确定，原则上为先中间后四周，先隔墙块段后井壁块段；</w:t>
      </w:r>
    </w:p>
    <w:p>
      <w:pPr>
        <w:pStyle w:val="5"/>
        <w:ind w:firstLine="480"/>
      </w:pPr>
      <w:r>
        <w:rPr>
          <w:rFonts w:hint="eastAsia"/>
        </w:rPr>
        <w:t>井壁、隔墙焊接宜以沉井几何中心线对称进行，焊缝焊接的顺序应遵循先箱内后外壁，由下端向上端施焊的原则；</w:t>
      </w:r>
    </w:p>
    <w:p>
      <w:pPr>
        <w:pStyle w:val="5"/>
        <w:ind w:firstLine="480"/>
      </w:pPr>
      <w:r>
        <w:rPr>
          <w:rFonts w:hint="eastAsia"/>
        </w:rPr>
        <w:t>最</w:t>
      </w:r>
      <w:r>
        <w:t>底部</w:t>
      </w:r>
      <w:r>
        <w:rPr>
          <w:rFonts w:hint="eastAsia"/>
        </w:rPr>
        <w:t>节</w:t>
      </w:r>
      <w:r>
        <w:t>段</w:t>
      </w:r>
      <w:r>
        <w:rPr>
          <w:rFonts w:hint="eastAsia"/>
        </w:rPr>
        <w:t>钢沉井施焊成整体后应进行整体测量并记录，作为上层钢沉井调整的依据；</w:t>
      </w:r>
    </w:p>
    <w:p>
      <w:pPr>
        <w:pStyle w:val="5"/>
        <w:ind w:firstLine="480"/>
      </w:pPr>
      <w:r>
        <w:rPr>
          <w:rFonts w:hint="eastAsia"/>
        </w:rPr>
        <w:t>焊接完毕后，应按照设计要求进行焊缝无损检测及水密性试验，无损检测、水密性试验等不合格的地方应报监理工程师并进行补焊，并应进行复检直至合格。</w:t>
      </w:r>
    </w:p>
    <w:p>
      <w:pPr>
        <w:pStyle w:val="4"/>
      </w:pPr>
      <w:bookmarkStart w:id="233" w:name="_Toc104109447"/>
      <w:r>
        <w:rPr>
          <w:rFonts w:hint="eastAsia"/>
        </w:rPr>
        <w:t>钢结构焊接应注意下列事项：</w:t>
      </w:r>
      <w:bookmarkEnd w:id="233"/>
    </w:p>
    <w:p>
      <w:pPr>
        <w:pStyle w:val="5"/>
        <w:ind w:firstLine="480"/>
      </w:pPr>
      <w:r>
        <w:rPr>
          <w:rFonts w:hint="eastAsia"/>
        </w:rPr>
        <w:t>施焊前必须彻底清理待焊区的铁锈、氧化铁皮、油污等杂质，焊后必须清理溶渣及飞溅物，并根据设计要求对焊缝打磨平顺；</w:t>
      </w:r>
    </w:p>
    <w:p>
      <w:pPr>
        <w:pStyle w:val="5"/>
        <w:ind w:firstLine="480"/>
      </w:pPr>
      <w:r>
        <w:rPr>
          <w:rFonts w:hint="eastAsia"/>
        </w:rPr>
        <w:t>使用的电焊条应有出厂合格证明；</w:t>
      </w:r>
    </w:p>
    <w:p>
      <w:pPr>
        <w:pStyle w:val="5"/>
        <w:ind w:firstLine="480"/>
      </w:pPr>
      <w:r>
        <w:rPr>
          <w:rFonts w:hint="eastAsia"/>
        </w:rPr>
        <w:t>使用的焊条应保持干燥，现场宜设置烘箱，烘箱中的温度保持在300℃</w:t>
      </w:r>
      <w:r>
        <w:t>~430</w:t>
      </w:r>
      <w:r>
        <w:rPr>
          <w:rFonts w:hint="eastAsia"/>
        </w:rPr>
        <w:t>℃范围</w:t>
      </w:r>
      <w:r>
        <w:t>内</w:t>
      </w:r>
      <w:r>
        <w:rPr>
          <w:rFonts w:hint="eastAsia"/>
        </w:rPr>
        <w:t>，焊条烘烤</w:t>
      </w:r>
      <w:r>
        <w:t>1h~2h</w:t>
      </w:r>
      <w:r>
        <w:rPr>
          <w:rFonts w:hint="eastAsia"/>
        </w:rPr>
        <w:t>，严禁焊条重复烘干超过一次；</w:t>
      </w:r>
    </w:p>
    <w:p>
      <w:pPr>
        <w:pStyle w:val="5"/>
        <w:ind w:firstLine="480"/>
      </w:pPr>
      <w:r>
        <w:rPr>
          <w:rFonts w:hint="eastAsia"/>
        </w:rPr>
        <w:t>为减少焊接变形、焊接应力集中及施工干扰，应按工艺图顺序进行焊接。</w:t>
      </w:r>
    </w:p>
    <w:p>
      <w:pPr>
        <w:pStyle w:val="4"/>
      </w:pPr>
      <w:bookmarkStart w:id="234" w:name="_Toc77763498"/>
      <w:bookmarkStart w:id="235" w:name="_Toc104109448"/>
      <w:r>
        <w:rPr>
          <w:rFonts w:hint="eastAsia"/>
        </w:rPr>
        <w:t>渗透性、水密性检测应符合下列规定：</w:t>
      </w:r>
      <w:bookmarkEnd w:id="234"/>
      <w:bookmarkEnd w:id="235"/>
    </w:p>
    <w:p>
      <w:pPr>
        <w:pStyle w:val="5"/>
        <w:ind w:firstLine="480"/>
      </w:pPr>
      <w:r>
        <w:rPr>
          <w:rFonts w:hint="eastAsia"/>
        </w:rPr>
        <w:t>钢沉井块段组拼焊接完成后，应开展渗透性检测，检测方式可采用无损检测、煤油渗漏等方式；</w:t>
      </w:r>
    </w:p>
    <w:p>
      <w:pPr>
        <w:pStyle w:val="5"/>
        <w:ind w:firstLine="480"/>
      </w:pPr>
      <w:r>
        <w:rPr>
          <w:rFonts w:hint="eastAsia"/>
        </w:rPr>
        <w:t>首节钢沉井除进行渗透性检测外，尚应进行水密性试验检测，宜采用注水的方式进行水密性检验，隔舱内注水高度应满足设计要求，设计无明确要求时不应小于沉井浮运吃水深度1m以上；如有漏水先作记号，放水后补焊并经再次检测合格方可下水浮运。</w:t>
      </w:r>
    </w:p>
    <w:p>
      <w:pPr>
        <w:pStyle w:val="4"/>
      </w:pPr>
      <w:bookmarkStart w:id="236" w:name="_Toc77763499"/>
      <w:bookmarkStart w:id="237" w:name="_Toc104109449"/>
      <w:r>
        <w:rPr>
          <w:rFonts w:hint="eastAsia"/>
        </w:rPr>
        <w:t>刃脚混凝土浇筑应符合下列规定：</w:t>
      </w:r>
      <w:bookmarkEnd w:id="236"/>
      <w:bookmarkEnd w:id="237"/>
    </w:p>
    <w:p>
      <w:pPr>
        <w:pStyle w:val="5"/>
        <w:ind w:firstLine="480"/>
      </w:pPr>
      <w:r>
        <w:rPr>
          <w:rFonts w:hint="eastAsia"/>
        </w:rPr>
        <w:t>沉井着床前应完成刃脚混凝土浇筑，可选择在钢沉井总拼场内、墩位或附近码头进行；</w:t>
      </w:r>
    </w:p>
    <w:p>
      <w:pPr>
        <w:pStyle w:val="5"/>
        <w:ind w:firstLine="480"/>
      </w:pPr>
      <w:r>
        <w:rPr>
          <w:rFonts w:hint="eastAsia"/>
        </w:rPr>
        <w:t>刃脚混凝土施工前，应按要求埋设相关预埋件，并对沉井内焊渣、杂物等进行清理；</w:t>
      </w:r>
    </w:p>
    <w:p>
      <w:pPr>
        <w:pStyle w:val="5"/>
        <w:ind w:firstLine="480"/>
      </w:pPr>
      <w:r>
        <w:rPr>
          <w:rFonts w:hint="eastAsia"/>
        </w:rPr>
        <w:t>混凝土浇筑应分隔舱进行，单个隔舱刃脚混凝土应连续不间断浇筑；</w:t>
      </w:r>
    </w:p>
    <w:p>
      <w:pPr>
        <w:pStyle w:val="5"/>
        <w:ind w:firstLine="480"/>
      </w:pPr>
      <w:r>
        <w:rPr>
          <w:rFonts w:hint="eastAsia"/>
        </w:rPr>
        <w:t>浇筑顺序由中间向四周对称进行，分层浇筑，严格控制每一层浇注厚度；</w:t>
      </w:r>
    </w:p>
    <w:p>
      <w:pPr>
        <w:pStyle w:val="5"/>
        <w:ind w:firstLine="480"/>
      </w:pPr>
      <w:r>
        <w:rPr>
          <w:rFonts w:hint="eastAsia"/>
        </w:rPr>
        <w:t>应严格控制刃脚混凝土的浇筑高差，避免因沉井重量不均衡造成的浮运、着床时沉井倾斜；</w:t>
      </w:r>
    </w:p>
    <w:p>
      <w:pPr>
        <w:pStyle w:val="5"/>
        <w:ind w:firstLine="480"/>
      </w:pPr>
      <w:r>
        <w:rPr>
          <w:rFonts w:hint="eastAsia"/>
        </w:rPr>
        <w:t>混凝土初凝后按照相关规定进行养护和凿毛。</w:t>
      </w:r>
    </w:p>
    <w:p>
      <w:pPr>
        <w:pStyle w:val="3"/>
        <w:spacing w:before="312"/>
      </w:pPr>
      <w:bookmarkStart w:id="238" w:name="_Toc69201721"/>
      <w:bookmarkStart w:id="239" w:name="_Toc112317328"/>
      <w:r>
        <w:rPr>
          <w:rFonts w:hint="eastAsia"/>
        </w:rPr>
        <w:t>钢沉井下水</w:t>
      </w:r>
      <w:bookmarkEnd w:id="238"/>
      <w:bookmarkEnd w:id="239"/>
    </w:p>
    <w:p>
      <w:pPr>
        <w:pStyle w:val="4"/>
      </w:pPr>
      <w:bookmarkStart w:id="240" w:name="_Toc77763502"/>
      <w:bookmarkStart w:id="241" w:name="_Toc104109451"/>
      <w:r>
        <w:rPr>
          <w:rFonts w:hint="eastAsia"/>
        </w:rPr>
        <w:t>钢沉井下水可采用船坞下水、滑道牵引下水、起吊下水等方式。</w:t>
      </w:r>
      <w:bookmarkEnd w:id="240"/>
      <w:bookmarkEnd w:id="241"/>
    </w:p>
    <w:p>
      <w:pPr>
        <w:pStyle w:val="4"/>
      </w:pPr>
      <w:bookmarkStart w:id="242" w:name="_Toc77763503"/>
      <w:bookmarkStart w:id="243" w:name="_Toc104109452"/>
      <w:r>
        <w:rPr>
          <w:rFonts w:hint="eastAsia"/>
        </w:rPr>
        <w:t>沉井下水前，应作好下列准备工作：</w:t>
      </w:r>
      <w:bookmarkEnd w:id="242"/>
      <w:bookmarkEnd w:id="243"/>
    </w:p>
    <w:p>
      <w:pPr>
        <w:pStyle w:val="5"/>
        <w:ind w:firstLine="480"/>
      </w:pPr>
      <w:r>
        <w:rPr>
          <w:rFonts w:hint="eastAsia"/>
        </w:rPr>
        <w:t>沉井下水前，应计算其吃水深度；当水深不能满足沉井吃水深度要求时，应采取助浮措施，可采取封底或封顶的方式。</w:t>
      </w:r>
    </w:p>
    <w:p>
      <w:pPr>
        <w:pStyle w:val="5"/>
        <w:ind w:firstLine="480"/>
      </w:pPr>
      <w:r>
        <w:rPr>
          <w:rFonts w:hint="eastAsia"/>
        </w:rPr>
        <w:t>沉井下水前，应对沉井出坞及浮运全过程进行详细的浮运稳性验算；</w:t>
      </w:r>
    </w:p>
    <w:p>
      <w:pPr>
        <w:pStyle w:val="5"/>
        <w:ind w:firstLine="480"/>
      </w:pPr>
      <w:r>
        <w:rPr>
          <w:rFonts w:hint="eastAsia"/>
        </w:rPr>
        <w:t>沉井下水前，应对沉井后续施工临时设施进行全面的复查工作；</w:t>
      </w:r>
    </w:p>
    <w:p>
      <w:pPr>
        <w:pStyle w:val="5"/>
        <w:ind w:firstLine="480"/>
      </w:pPr>
      <w:r>
        <w:rPr>
          <w:rFonts w:hint="eastAsia"/>
        </w:rPr>
        <w:t>沉井下水前，应掌握河床、水文、气象及航运情况，并检查定位系统及相关施工设备设施。</w:t>
      </w:r>
    </w:p>
    <w:p>
      <w:pPr>
        <w:pStyle w:val="4"/>
      </w:pPr>
      <w:bookmarkStart w:id="244" w:name="_Toc77763504"/>
      <w:bookmarkStart w:id="245" w:name="_Toc104109453"/>
      <w:r>
        <w:rPr>
          <w:rFonts w:hint="eastAsia"/>
        </w:rPr>
        <w:t>船坞下水，应按下列步骤进行：</w:t>
      </w:r>
      <w:bookmarkEnd w:id="244"/>
      <w:bookmarkEnd w:id="245"/>
    </w:p>
    <w:p>
      <w:pPr>
        <w:pStyle w:val="5"/>
        <w:ind w:firstLine="480"/>
      </w:pPr>
      <w:r>
        <w:rPr>
          <w:rFonts w:hint="eastAsia"/>
        </w:rPr>
        <w:t>船坞注水前，应在船坞内设置系缆等措施将沉井临时固定；</w:t>
      </w:r>
    </w:p>
    <w:p>
      <w:pPr>
        <w:pStyle w:val="5"/>
        <w:ind w:firstLine="480"/>
      </w:pPr>
      <w:r>
        <w:rPr>
          <w:rFonts w:hint="eastAsia"/>
        </w:rPr>
        <w:t>开启坞门的注水系统，进行坞内注水，同时注意检查沉井的水密性；应注意坞内水位变化，当坞内水位接近沉井起浮水位时，应减缓坞内注水速度，使沉井缓慢平稳起浮；</w:t>
      </w:r>
    </w:p>
    <w:p>
      <w:pPr>
        <w:pStyle w:val="5"/>
        <w:ind w:firstLine="480"/>
      </w:pPr>
      <w:r>
        <w:rPr>
          <w:rFonts w:hint="eastAsia"/>
        </w:rPr>
        <w:t>沉井起浮过程中，应注意收紧缆绳，防止沉井漂移；</w:t>
      </w:r>
    </w:p>
    <w:p>
      <w:pPr>
        <w:pStyle w:val="5"/>
        <w:ind w:firstLine="480"/>
      </w:pPr>
      <w:r>
        <w:rPr>
          <w:rFonts w:hint="eastAsia"/>
        </w:rPr>
        <w:t>待船坞内外水位平齐时，打开船坞闸门，采用拖轮或牵引系统将沉井牵引出坞。</w:t>
      </w:r>
    </w:p>
    <w:p>
      <w:pPr>
        <w:pStyle w:val="4"/>
      </w:pPr>
      <w:bookmarkStart w:id="246" w:name="_Toc77763505"/>
      <w:bookmarkStart w:id="247" w:name="_Toc104109454"/>
      <w:r>
        <w:rPr>
          <w:rFonts w:hint="eastAsia"/>
        </w:rPr>
        <w:t>滑道牵引下水，应符合下列规定：</w:t>
      </w:r>
      <w:bookmarkEnd w:id="246"/>
      <w:bookmarkEnd w:id="247"/>
      <w:r>
        <w:t xml:space="preserve"> </w:t>
      </w:r>
    </w:p>
    <w:p>
      <w:pPr>
        <w:pStyle w:val="5"/>
        <w:ind w:firstLine="480"/>
      </w:pPr>
      <w:r>
        <w:rPr>
          <w:rFonts w:hint="eastAsia"/>
        </w:rPr>
        <w:t>水下滑道、斜船架应满足沉井牵引下水的结构尺寸、强度和刚度以及施工要求；</w:t>
      </w:r>
    </w:p>
    <w:p>
      <w:pPr>
        <w:pStyle w:val="5"/>
        <w:ind w:firstLine="480"/>
      </w:pPr>
      <w:r>
        <w:rPr>
          <w:rFonts w:hint="eastAsia"/>
        </w:rPr>
        <w:t>下水作业前应进行滑道</w:t>
      </w:r>
      <w:r>
        <w:t>前</w:t>
      </w:r>
      <w:r>
        <w:rPr>
          <w:rFonts w:hint="eastAsia"/>
        </w:rPr>
        <w:t>方</w:t>
      </w:r>
      <w:r>
        <w:t>水下</w:t>
      </w:r>
      <w:r>
        <w:rPr>
          <w:rFonts w:hint="eastAsia"/>
        </w:rPr>
        <w:t>检查</w:t>
      </w:r>
      <w:r>
        <w:t>，</w:t>
      </w:r>
      <w:r>
        <w:rPr>
          <w:rFonts w:hint="eastAsia"/>
        </w:rPr>
        <w:t>考虑水位和流速变化的影响，下水作业宜在低流速低水位时进行；</w:t>
      </w:r>
    </w:p>
    <w:p>
      <w:pPr>
        <w:pStyle w:val="5"/>
        <w:ind w:firstLine="480"/>
      </w:pPr>
      <w:r>
        <w:rPr>
          <w:rFonts w:hint="eastAsia"/>
        </w:rPr>
        <w:t>采用斜船架滑道下水，应先布置好地锚、卷扬机等，将斜船架锚固牢靠，钢沉井搁置在斜船架上时不得向前滑动，搁置在斜船架上的钢沉井应平衡稳定，固定牢靠；</w:t>
      </w:r>
    </w:p>
    <w:p>
      <w:pPr>
        <w:pStyle w:val="5"/>
        <w:ind w:firstLine="480"/>
      </w:pPr>
      <w:r>
        <w:rPr>
          <w:rFonts w:hint="eastAsia"/>
        </w:rPr>
        <w:t>入水后，水中拖轮应及时靠近栓绑，使其稳定不至于随意漂浮或搁浅。</w:t>
      </w:r>
    </w:p>
    <w:p>
      <w:pPr>
        <w:pStyle w:val="4"/>
      </w:pPr>
      <w:bookmarkStart w:id="248" w:name="_Toc77763507"/>
      <w:bookmarkStart w:id="249" w:name="_Toc104109455"/>
      <w:r>
        <w:rPr>
          <w:rFonts w:hint="eastAsia"/>
        </w:rPr>
        <w:t>利用吊装设备整体起吊下水，</w:t>
      </w:r>
      <w:r>
        <w:rPr>
          <w:rFonts w:hint="eastAsia"/>
          <w:color w:val="000000" w:themeColor="text1"/>
          <w14:textFill>
            <w14:solidFill>
              <w14:schemeClr w14:val="tx1"/>
            </w14:solidFill>
          </w14:textFill>
        </w:rPr>
        <w:t>应符合下列规定：</w:t>
      </w:r>
      <w:bookmarkEnd w:id="248"/>
      <w:bookmarkEnd w:id="249"/>
    </w:p>
    <w:p>
      <w:pPr>
        <w:pStyle w:val="5"/>
        <w:ind w:firstLine="480"/>
      </w:pPr>
      <w:r>
        <w:rPr>
          <w:rFonts w:hint="eastAsia"/>
        </w:rPr>
        <w:t>在河岸有利地形条件或墩位附近平板驳上拼装的钢沉井，可采用浮吊起吊下水；</w:t>
      </w:r>
    </w:p>
    <w:p>
      <w:pPr>
        <w:pStyle w:val="5"/>
        <w:ind w:firstLine="480"/>
      </w:pPr>
      <w:r>
        <w:rPr>
          <w:rFonts w:hint="eastAsia"/>
        </w:rPr>
        <w:t>浮吊的起重能力应根据钢沉井重量和安全系数计算确定；</w:t>
      </w:r>
    </w:p>
    <w:p>
      <w:pPr>
        <w:pStyle w:val="5"/>
        <w:ind w:firstLine="480"/>
      </w:pPr>
      <w:r>
        <w:rPr>
          <w:rFonts w:hint="eastAsia"/>
        </w:rPr>
        <w:t>在有潮汐影响的水域，起吊应选择在流速较小的平潮期进行。</w:t>
      </w:r>
    </w:p>
    <w:p>
      <w:pPr>
        <w:pStyle w:val="3"/>
        <w:spacing w:before="312"/>
      </w:pPr>
      <w:bookmarkStart w:id="250" w:name="_Toc69201722"/>
      <w:bookmarkStart w:id="251" w:name="_Toc112317329"/>
      <w:r>
        <w:rPr>
          <w:rFonts w:hint="eastAsia"/>
        </w:rPr>
        <w:t>钢沉井</w:t>
      </w:r>
      <w:bookmarkEnd w:id="250"/>
      <w:r>
        <w:rPr>
          <w:rFonts w:hint="eastAsia"/>
        </w:rPr>
        <w:t>运输</w:t>
      </w:r>
      <w:bookmarkEnd w:id="251"/>
    </w:p>
    <w:p>
      <w:pPr>
        <w:pStyle w:val="4"/>
      </w:pPr>
      <w:bookmarkStart w:id="252" w:name="_Toc77763509"/>
      <w:bookmarkStart w:id="253" w:name="_Toc104109457"/>
      <w:r>
        <w:rPr>
          <w:rFonts w:hint="eastAsia"/>
        </w:rPr>
        <w:t>钢沉井的运输方式应根据沉井下水方式、运输重量、运输距离等进行确定；首节钢沉井宜采用拖轮拖带或半潜驳浮运方式进行运输；后续节段宜采用驳船整节或分块进行运输。</w:t>
      </w:r>
      <w:bookmarkEnd w:id="252"/>
      <w:bookmarkEnd w:id="253"/>
    </w:p>
    <w:p>
      <w:pPr>
        <w:pStyle w:val="4"/>
        <w:rPr>
          <w:b/>
        </w:rPr>
      </w:pPr>
      <w:bookmarkStart w:id="254" w:name="_Toc77763510"/>
      <w:bookmarkStart w:id="255" w:name="_Toc104109458"/>
      <w:r>
        <w:rPr>
          <w:rFonts w:hint="eastAsia"/>
        </w:rPr>
        <w:t>沉井浮运前，应作好下列准备工作：</w:t>
      </w:r>
      <w:bookmarkEnd w:id="254"/>
      <w:bookmarkEnd w:id="255"/>
    </w:p>
    <w:p>
      <w:pPr>
        <w:pStyle w:val="5"/>
        <w:ind w:firstLine="480"/>
      </w:pPr>
      <w:r>
        <w:rPr>
          <w:rFonts w:hint="eastAsia"/>
        </w:rPr>
        <w:t>钢沉井浮运应提前拟好浮运线路，制定钢沉井浮运专项施工方案和通航安全保障方案，经评审和批准后方可实施；</w:t>
      </w:r>
    </w:p>
    <w:p>
      <w:pPr>
        <w:pStyle w:val="5"/>
        <w:ind w:firstLine="480"/>
      </w:pPr>
      <w:r>
        <w:rPr>
          <w:rFonts w:hint="eastAsia"/>
        </w:rPr>
        <w:t>浮运前，应对所经水域和墩位处河床进行探查，所经水域应无妨碍浮运的水下障碍物，沉井墩位处河床应基本平整；</w:t>
      </w:r>
    </w:p>
    <w:p>
      <w:pPr>
        <w:pStyle w:val="5"/>
        <w:ind w:firstLine="480"/>
      </w:pPr>
      <w:r>
        <w:rPr>
          <w:rFonts w:hint="eastAsia"/>
        </w:rPr>
        <w:t>应</w:t>
      </w:r>
      <w:r>
        <w:t>对钢沉井浮运全过程</w:t>
      </w:r>
      <w:r>
        <w:rPr>
          <w:rFonts w:hint="eastAsia"/>
        </w:rPr>
        <w:t>进行</w:t>
      </w:r>
      <w:r>
        <w:t>受力和稳定性</w:t>
      </w:r>
      <w:r>
        <w:rPr>
          <w:rFonts w:hint="eastAsia"/>
        </w:rPr>
        <w:t>验算；拖轮配置应有足够的富裕，宜配置备用拖轮、拖缆、临时锚缆及安全锚等；</w:t>
      </w:r>
    </w:p>
    <w:p>
      <w:pPr>
        <w:pStyle w:val="5"/>
        <w:ind w:firstLine="480"/>
      </w:pPr>
      <w:r>
        <w:rPr>
          <w:rFonts w:hint="eastAsia"/>
        </w:rPr>
        <w:t>沉井浮运时的干舷高度不应小于1</w:t>
      </w:r>
      <w:r>
        <w:t>.0</w:t>
      </w:r>
      <w:r>
        <w:rPr>
          <w:rFonts w:hint="eastAsia"/>
        </w:rPr>
        <w:t>m，当浮运水域受海浪影响或有通航船舶时，干舷高度尚应考虑波浪的影响；</w:t>
      </w:r>
    </w:p>
    <w:p>
      <w:pPr>
        <w:pStyle w:val="5"/>
        <w:ind w:firstLine="480"/>
      </w:pPr>
      <w:r>
        <w:rPr>
          <w:rFonts w:hint="eastAsia"/>
        </w:rPr>
        <w:t>沉井浮运前，应分析潮汐对沉井浮运作业的影响，提前观测潮位变化、关注气象预报，选择合适的窗口期进行沉井出坞及浮运作业；要求浮运当天江面能见度好，浮运期间无五级以上大风，无中雨以上降水；</w:t>
      </w:r>
    </w:p>
    <w:p>
      <w:pPr>
        <w:pStyle w:val="5"/>
        <w:ind w:firstLine="480"/>
      </w:pPr>
      <w:r>
        <w:rPr>
          <w:rFonts w:hint="eastAsia"/>
        </w:rPr>
        <w:t>经海事航运部门批准后方可进行浮运，在有船只通航水域浮运，必要时可在浮运施工过程中进行航道管制和警戒维护。</w:t>
      </w:r>
    </w:p>
    <w:p>
      <w:pPr>
        <w:pStyle w:val="4"/>
      </w:pPr>
      <w:bookmarkStart w:id="256" w:name="_Toc77763511"/>
      <w:bookmarkStart w:id="257" w:name="_Toc104109459"/>
      <w:r>
        <w:rPr>
          <w:rFonts w:hint="eastAsia"/>
        </w:rPr>
        <w:t>沉井浮运过程中，应注意下列事项：</w:t>
      </w:r>
      <w:bookmarkEnd w:id="256"/>
      <w:bookmarkEnd w:id="257"/>
    </w:p>
    <w:p>
      <w:pPr>
        <w:pStyle w:val="5"/>
        <w:ind w:firstLine="480"/>
      </w:pPr>
      <w:r>
        <w:rPr>
          <w:rFonts w:hint="eastAsia"/>
        </w:rPr>
        <w:t>应根据拖带方案布置拖轮，主拖、辅拖依次就位，备用拖轮同时就位；</w:t>
      </w:r>
    </w:p>
    <w:p>
      <w:pPr>
        <w:pStyle w:val="5"/>
        <w:ind w:firstLine="480"/>
      </w:pPr>
      <w:r>
        <w:rPr>
          <w:rFonts w:hint="eastAsia"/>
        </w:rPr>
        <w:t>应和水上公安及海事等部门积极配合，确保过往船只不进入浮运水域；</w:t>
      </w:r>
    </w:p>
    <w:p>
      <w:pPr>
        <w:pStyle w:val="5"/>
        <w:ind w:firstLine="480"/>
      </w:pPr>
      <w:r>
        <w:rPr>
          <w:rFonts w:hint="eastAsia"/>
        </w:rPr>
        <w:t>应对沉井浮运过程中的航速、吃水深度和姿态进行监测。</w:t>
      </w:r>
    </w:p>
    <w:p>
      <w:pPr>
        <w:pStyle w:val="4"/>
      </w:pPr>
      <w:bookmarkStart w:id="258" w:name="_Toc77763512"/>
      <w:bookmarkStart w:id="259" w:name="_Toc104109460"/>
      <w:r>
        <w:rPr>
          <w:rFonts w:hint="eastAsia"/>
        </w:rPr>
        <w:t>采用驳船运输时，应符合下列规定：</w:t>
      </w:r>
      <w:bookmarkEnd w:id="258"/>
      <w:bookmarkEnd w:id="259"/>
    </w:p>
    <w:p>
      <w:pPr>
        <w:pStyle w:val="5"/>
        <w:ind w:firstLine="480"/>
      </w:pPr>
      <w:r>
        <w:rPr>
          <w:rFonts w:hint="eastAsia"/>
        </w:rPr>
        <w:t>应根据待运输块段长宽尺寸、单件重量、运输距离等确定运输船舶，船舶吃水应满足运输船舶进港要求，宜选用自航式甲板驳船进行运输；</w:t>
      </w:r>
    </w:p>
    <w:p>
      <w:pPr>
        <w:pStyle w:val="5"/>
        <w:ind w:firstLine="480"/>
      </w:pPr>
      <w:r>
        <w:t>装船</w:t>
      </w:r>
      <w:r>
        <w:rPr>
          <w:rFonts w:hint="eastAsia"/>
        </w:rPr>
        <w:t>应</w:t>
      </w:r>
      <w:r>
        <w:t>采用多支点支撑，支撑点</w:t>
      </w:r>
      <w:r>
        <w:rPr>
          <w:rFonts w:hint="eastAsia"/>
        </w:rPr>
        <w:t>宜</w:t>
      </w:r>
      <w:r>
        <w:t>采用</w:t>
      </w:r>
      <w:r>
        <w:rPr>
          <w:rFonts w:hint="eastAsia"/>
        </w:rPr>
        <w:t>枕木，单根枕木对运输驳船甲板压力不超过允许值；</w:t>
      </w:r>
    </w:p>
    <w:p>
      <w:pPr>
        <w:pStyle w:val="5"/>
        <w:ind w:firstLine="480"/>
      </w:pPr>
      <w:r>
        <w:rPr>
          <w:rFonts w:hint="eastAsia"/>
        </w:rPr>
        <w:t>装船后，宜对块段进行刚性固定和柔性捆绑，确保运输过程不会移动或倾覆。</w:t>
      </w:r>
    </w:p>
    <w:p>
      <w:pPr>
        <w:pStyle w:val="3"/>
        <w:spacing w:before="312"/>
      </w:pPr>
      <w:bookmarkStart w:id="260" w:name="_Toc112317330"/>
      <w:bookmarkStart w:id="261" w:name="_Toc69201724"/>
      <w:r>
        <w:rPr>
          <w:rFonts w:hint="eastAsia"/>
        </w:rPr>
        <w:t>钢沉井定位及着床</w:t>
      </w:r>
      <w:bookmarkEnd w:id="260"/>
    </w:p>
    <w:p>
      <w:pPr>
        <w:pStyle w:val="4"/>
      </w:pPr>
      <w:r>
        <w:rPr>
          <w:rFonts w:hint="eastAsia"/>
        </w:rPr>
        <w:t>沉井定位系统的方案设计应综合考虑定位阻力、定位精度、施工风险、施工难度、占用施工水域及对通航的影响等，经技术经济比选后确定。</w:t>
      </w:r>
    </w:p>
    <w:p>
      <w:pPr>
        <w:pStyle w:val="4"/>
      </w:pPr>
      <w:bookmarkStart w:id="262" w:name="_Toc77763514"/>
      <w:bookmarkStart w:id="263" w:name="_Toc104109462"/>
      <w:r>
        <w:rPr>
          <w:rFonts w:hint="eastAsia"/>
        </w:rPr>
        <w:t>沉井定位系统一般分为锚墩（桩）半刚性定位系统和锚碇柔性定位系统，定位系统设计时，应符合下列规定：</w:t>
      </w:r>
      <w:bookmarkEnd w:id="262"/>
      <w:bookmarkEnd w:id="263"/>
      <w:r>
        <w:t xml:space="preserve"> </w:t>
      </w:r>
    </w:p>
    <w:p>
      <w:pPr>
        <w:pStyle w:val="5"/>
        <w:ind w:firstLine="480"/>
      </w:pPr>
      <w:r>
        <w:rPr>
          <w:rFonts w:hint="eastAsia"/>
        </w:rPr>
        <w:t>定位系统的选择应根据水文条件、地质条件、河床冲淤情况、沉井下沉施工以及定位精度要求综合分析确定，可采用上下游锚墩定位系统、四角锚墩定位系统、多锚桩定位系统、拉靠墩定位系统、锚碇定位系统等形式；</w:t>
      </w:r>
    </w:p>
    <w:p>
      <w:pPr>
        <w:pStyle w:val="5"/>
        <w:ind w:firstLine="480"/>
      </w:pPr>
      <w:r>
        <w:rPr>
          <w:rFonts w:hint="eastAsia"/>
        </w:rPr>
        <w:t>沉井定位阻力应考虑水流力、风荷载、波浪力、冰荷载等作用；</w:t>
      </w:r>
    </w:p>
    <w:p>
      <w:pPr>
        <w:pStyle w:val="5"/>
        <w:ind w:firstLine="480"/>
      </w:pPr>
      <w:r>
        <w:rPr>
          <w:rFonts w:hint="eastAsia"/>
        </w:rPr>
        <w:t>应对定位</w:t>
      </w:r>
      <w:r>
        <w:rPr>
          <w:rFonts w:hint="eastAsia" w:cs="Times New Roman"/>
        </w:rPr>
        <w:t>锚缆</w:t>
      </w:r>
      <w:r>
        <w:rPr>
          <w:rFonts w:hint="eastAsia"/>
        </w:rPr>
        <w:t>、定位锚、锚墩（桩）进行受力验算，各种锚缆的安全系数不小于</w:t>
      </w:r>
      <w:r>
        <w:t>2.0</w:t>
      </w:r>
      <w:r>
        <w:rPr>
          <w:rFonts w:hint="eastAsia"/>
        </w:rPr>
        <w:t>，定位锚锚抓力的安全系数不小于</w:t>
      </w:r>
      <w:r>
        <w:t>1.3</w:t>
      </w:r>
      <w:r>
        <w:rPr>
          <w:rFonts w:hint="eastAsia"/>
        </w:rPr>
        <w:t>；</w:t>
      </w:r>
    </w:p>
    <w:p>
      <w:pPr>
        <w:pStyle w:val="5"/>
        <w:ind w:firstLine="480"/>
        <w:rPr>
          <w:rFonts w:cs="Times New Roman"/>
        </w:rPr>
      </w:pPr>
      <w:r>
        <w:rPr>
          <w:rFonts w:hint="eastAsia" w:cs="Times New Roman"/>
        </w:rPr>
        <w:t>锚墩、锚桩应设置在沉井冲刷和下沉取土影响范围之外一定距离；</w:t>
      </w:r>
    </w:p>
    <w:p>
      <w:pPr>
        <w:pStyle w:val="5"/>
        <w:ind w:firstLine="480"/>
      </w:pPr>
      <w:r>
        <w:rPr>
          <w:rFonts w:hint="eastAsia"/>
        </w:rPr>
        <w:t>锚缆张拉和收放设备根据施工条件可设置在锚墩平台或沉井顶面。</w:t>
      </w:r>
    </w:p>
    <w:p>
      <w:pPr>
        <w:pStyle w:val="4"/>
      </w:pPr>
      <w:bookmarkStart w:id="264" w:name="_Toc77763515"/>
      <w:bookmarkStart w:id="265" w:name="_Toc104109463"/>
      <w:r>
        <w:rPr>
          <w:rFonts w:hint="eastAsia"/>
        </w:rPr>
        <w:t>定位系统施工应满足下列规定：</w:t>
      </w:r>
      <w:bookmarkEnd w:id="264"/>
      <w:bookmarkEnd w:id="265"/>
    </w:p>
    <w:p>
      <w:pPr>
        <w:pStyle w:val="5"/>
        <w:ind w:firstLine="480"/>
      </w:pPr>
      <w:r>
        <w:rPr>
          <w:rFonts w:hint="eastAsia"/>
        </w:rPr>
        <w:t>根据定位系统布置图，确定锚、定位船以及钢沉井的理论位置，复测控制网并建立控制点；</w:t>
      </w:r>
    </w:p>
    <w:p>
      <w:pPr>
        <w:pStyle w:val="5"/>
        <w:ind w:firstLine="480"/>
      </w:pPr>
      <w:r>
        <w:rPr>
          <w:rFonts w:hint="eastAsia"/>
        </w:rPr>
        <w:t>锚、锚链及锚缆使用前必须对其进行检查，抛锚作业应选择六级以下风力、无雨雾的白天进行，抛锚位置偏差应控制在5m以内。</w:t>
      </w:r>
    </w:p>
    <w:p>
      <w:pPr>
        <w:pStyle w:val="4"/>
      </w:pPr>
      <w:bookmarkStart w:id="266" w:name="_Toc77763517"/>
      <w:bookmarkStart w:id="267" w:name="_Toc104109464"/>
      <w:r>
        <w:rPr>
          <w:rFonts w:hint="eastAsia"/>
        </w:rPr>
        <w:t>钢沉井定位着床前，应进行下列准备工作：</w:t>
      </w:r>
      <w:bookmarkEnd w:id="266"/>
      <w:bookmarkEnd w:id="267"/>
    </w:p>
    <w:p>
      <w:pPr>
        <w:pStyle w:val="5"/>
        <w:ind w:firstLine="480"/>
      </w:pPr>
      <w:r>
        <w:rPr>
          <w:rFonts w:hint="eastAsia"/>
        </w:rPr>
        <w:t>着床前应详细探明墩位处河床面情况；</w:t>
      </w:r>
    </w:p>
    <w:p>
      <w:pPr>
        <w:pStyle w:val="5"/>
        <w:ind w:firstLine="480"/>
      </w:pPr>
      <w:r>
        <w:rPr>
          <w:rFonts w:hint="eastAsia"/>
        </w:rPr>
        <w:t>应设置锚缆索力监测设备，在沉井定位及着床过程进行锚缆动态监测，保证沉井定位系统的可靠性、安全性；</w:t>
      </w:r>
    </w:p>
    <w:p>
      <w:pPr>
        <w:pStyle w:val="5"/>
        <w:ind w:firstLine="480"/>
      </w:pPr>
      <w:r>
        <w:rPr>
          <w:rFonts w:hint="eastAsia"/>
        </w:rPr>
        <w:t>定位着床前应完成定位系统施工，并对锚碇设备进行全面检查和调试，对已抛锚进行试拉试验，确保锚碇系统受力满足要求。</w:t>
      </w:r>
    </w:p>
    <w:p>
      <w:pPr>
        <w:pStyle w:val="4"/>
      </w:pPr>
      <w:bookmarkStart w:id="268" w:name="_Toc77763518"/>
      <w:bookmarkStart w:id="269" w:name="_Toc104109465"/>
      <w:r>
        <w:rPr>
          <w:rFonts w:hint="eastAsia"/>
        </w:rPr>
        <w:t>钢沉井初步定位时，宜按以下步骤进行：</w:t>
      </w:r>
      <w:bookmarkEnd w:id="268"/>
      <w:bookmarkEnd w:id="269"/>
    </w:p>
    <w:p>
      <w:pPr>
        <w:pStyle w:val="5"/>
        <w:ind w:firstLine="480"/>
      </w:pPr>
      <w:r>
        <w:rPr>
          <w:rFonts w:hint="eastAsia"/>
        </w:rPr>
        <w:t>沉井浮运至墩位后，立即进行转缆施工，在沉井未与定位系统或临时定位系统牢靠连接前，严禁拖轮与沉井解绑驶离；</w:t>
      </w:r>
    </w:p>
    <w:p>
      <w:pPr>
        <w:pStyle w:val="5"/>
        <w:ind w:firstLine="480"/>
      </w:pPr>
      <w:r>
        <w:rPr>
          <w:rFonts w:hint="eastAsia"/>
        </w:rPr>
        <w:t>沉井与定位系统连接完成后进行初定位，沉井初定位的平面偏位宜控制在1</w:t>
      </w:r>
      <w:r>
        <w:t>.0</w:t>
      </w:r>
      <w:r>
        <w:rPr>
          <w:rFonts w:hint="eastAsia"/>
        </w:rPr>
        <w:t>m以内。</w:t>
      </w:r>
    </w:p>
    <w:p>
      <w:pPr>
        <w:pStyle w:val="4"/>
      </w:pPr>
      <w:bookmarkStart w:id="270" w:name="_Toc77763519"/>
      <w:bookmarkStart w:id="271" w:name="_Toc104109466"/>
      <w:r>
        <w:rPr>
          <w:rFonts w:hint="eastAsia"/>
        </w:rPr>
        <w:t>钢沉井注水时，应符合下列规定：</w:t>
      </w:r>
      <w:bookmarkEnd w:id="270"/>
      <w:bookmarkEnd w:id="271"/>
    </w:p>
    <w:p>
      <w:pPr>
        <w:pStyle w:val="5"/>
        <w:ind w:firstLine="480"/>
      </w:pPr>
      <w:r>
        <w:rPr>
          <w:rFonts w:hint="eastAsia"/>
        </w:rPr>
        <w:t>注水宜分次分阶段进行，注水的次数应根据水深、注水量、注水效率、潮位变化等综合确定；</w:t>
      </w:r>
    </w:p>
    <w:p>
      <w:pPr>
        <w:pStyle w:val="5"/>
        <w:ind w:firstLine="480"/>
      </w:pPr>
      <w:r>
        <w:rPr>
          <w:rFonts w:hint="eastAsia"/>
        </w:rPr>
        <w:t>可采用水泵向沉井隔舱内注水，也可在钢沉井壁板上设置注水阀自流注水，水泵或注水阀自流的注水能力应能满足沉井平潮期快速注水着床的要求；</w:t>
      </w:r>
    </w:p>
    <w:p>
      <w:pPr>
        <w:pStyle w:val="5"/>
        <w:ind w:firstLine="480"/>
      </w:pPr>
      <w:r>
        <w:rPr>
          <w:rFonts w:hint="eastAsia"/>
        </w:rPr>
        <w:t>注水应快速、均匀，同时注意测量调整沉井平面位置和垂直度；</w:t>
      </w:r>
    </w:p>
    <w:p>
      <w:pPr>
        <w:pStyle w:val="5"/>
        <w:ind w:firstLine="480"/>
      </w:pPr>
      <w:r>
        <w:rPr>
          <w:rFonts w:hint="eastAsia"/>
        </w:rPr>
        <w:t>注水时，应随时监测隔舱内水面高程，严格控制隔舱内外及各隔舱水面高差，保持各隔舱水面高程基本一致。</w:t>
      </w:r>
    </w:p>
    <w:p>
      <w:pPr>
        <w:pStyle w:val="4"/>
      </w:pPr>
      <w:bookmarkStart w:id="272" w:name="_Toc77763520"/>
      <w:bookmarkStart w:id="273" w:name="_Toc104109467"/>
      <w:r>
        <w:rPr>
          <w:rFonts w:hint="eastAsia"/>
        </w:rPr>
        <w:t>钢沉井精确定位与着床，应符合下列规定：</w:t>
      </w:r>
      <w:bookmarkEnd w:id="272"/>
      <w:bookmarkEnd w:id="273"/>
    </w:p>
    <w:p>
      <w:pPr>
        <w:pStyle w:val="5"/>
        <w:ind w:firstLine="480"/>
      </w:pPr>
      <w:r>
        <w:rPr>
          <w:rFonts w:hint="eastAsia"/>
        </w:rPr>
        <w:t>着床宜安排在枯水时期、流速较小时进行；</w:t>
      </w:r>
    </w:p>
    <w:p>
      <w:pPr>
        <w:pStyle w:val="5"/>
        <w:ind w:firstLine="480"/>
      </w:pPr>
      <w:r>
        <w:rPr>
          <w:rFonts w:hint="eastAsia"/>
        </w:rPr>
        <w:t>沉井精定位宜采用动态控制法，与沉井注水着床同步进行；</w:t>
      </w:r>
    </w:p>
    <w:p>
      <w:pPr>
        <w:pStyle w:val="5"/>
        <w:ind w:firstLine="480"/>
      </w:pPr>
      <w:r>
        <w:rPr>
          <w:rFonts w:hint="eastAsia"/>
        </w:rPr>
        <w:t>可通过调整锚缆和注水进行沉井姿态调整，宜先调整平面位置，再调整扭转角，最后调整垂直度；</w:t>
      </w:r>
    </w:p>
    <w:p>
      <w:pPr>
        <w:pStyle w:val="5"/>
        <w:ind w:firstLine="480"/>
      </w:pPr>
      <w:r>
        <w:rPr>
          <w:rFonts w:hint="eastAsia"/>
        </w:rPr>
        <w:t>着床时，应实时监测沉井底高程、底口平面位置、扭转角、倾斜度；</w:t>
      </w:r>
    </w:p>
    <w:p>
      <w:pPr>
        <w:pStyle w:val="5"/>
        <w:ind w:firstLine="480"/>
      </w:pPr>
      <w:r>
        <w:rPr>
          <w:rFonts w:hint="eastAsia"/>
        </w:rPr>
        <w:t>沉井着床后应及时对沉井平面位置、倾斜度和扭转角进行复核；若偏位、倾斜或扭转大于精定位控制标准，依靠纠偏措施难以保证其准确回复到设计位置时，应进行隔舱抽水，使沉井重新上浮，再次进行精定位与着床；</w:t>
      </w:r>
    </w:p>
    <w:p>
      <w:pPr>
        <w:pStyle w:val="5"/>
        <w:ind w:firstLine="480"/>
      </w:pPr>
      <w:r>
        <w:rPr>
          <w:rFonts w:hint="eastAsia"/>
        </w:rPr>
        <w:t>沉井着床精度满足要求后，应继续注水使沉井刃脚嵌入河床面以下一定稳定深度。</w:t>
      </w:r>
    </w:p>
    <w:p>
      <w:pPr>
        <w:pStyle w:val="4"/>
      </w:pPr>
      <w:bookmarkStart w:id="274" w:name="_Toc77763521"/>
      <w:bookmarkStart w:id="275" w:name="_Toc104109468"/>
      <w:r>
        <w:rPr>
          <w:rFonts w:hint="eastAsia"/>
        </w:rPr>
        <w:t>钢沉井着床后，宜</w:t>
      </w:r>
      <w:r>
        <w:rPr>
          <w:rFonts w:hint="eastAsia"/>
          <w:color w:val="000000" w:themeColor="text1"/>
          <w14:textFill>
            <w14:solidFill>
              <w14:schemeClr w14:val="tx1"/>
            </w14:solidFill>
          </w14:textFill>
        </w:rPr>
        <w:t>根据冲刷形态</w:t>
      </w:r>
      <w:r>
        <w:rPr>
          <w:rFonts w:hint="eastAsia"/>
        </w:rPr>
        <w:t>及时进行刃脚周边河床防护，可采取抛石、抛沙袋等措施进行防护。</w:t>
      </w:r>
      <w:bookmarkEnd w:id="274"/>
      <w:bookmarkEnd w:id="275"/>
    </w:p>
    <w:p>
      <w:pPr>
        <w:pStyle w:val="3"/>
        <w:spacing w:before="312"/>
      </w:pPr>
      <w:bookmarkStart w:id="276" w:name="_Toc112317331"/>
      <w:r>
        <w:rPr>
          <w:rFonts w:hint="eastAsia"/>
        </w:rPr>
        <w:t>钢沉井接高</w:t>
      </w:r>
      <w:bookmarkEnd w:id="261"/>
      <w:bookmarkEnd w:id="276"/>
    </w:p>
    <w:p>
      <w:pPr>
        <w:pStyle w:val="4"/>
      </w:pPr>
      <w:bookmarkStart w:id="277" w:name="_Toc77763523"/>
      <w:bookmarkStart w:id="278" w:name="_Toc104109470"/>
      <w:r>
        <w:rPr>
          <w:rFonts w:hint="eastAsia"/>
        </w:rPr>
        <w:t>应根据施工条件、设备能力、工期要求、精度控制，经过技术经济比较，可选择整节或分块接高方案。</w:t>
      </w:r>
      <w:bookmarkEnd w:id="277"/>
      <w:bookmarkEnd w:id="278"/>
    </w:p>
    <w:p>
      <w:pPr>
        <w:pStyle w:val="4"/>
      </w:pPr>
      <w:bookmarkStart w:id="279" w:name="_Toc77763524"/>
      <w:bookmarkStart w:id="280" w:name="_Toc104109471"/>
      <w:r>
        <w:rPr>
          <w:rFonts w:hint="eastAsia"/>
        </w:rPr>
        <w:t>钢沉井接高前，应做好下列准备工作：</w:t>
      </w:r>
      <w:bookmarkEnd w:id="279"/>
      <w:bookmarkEnd w:id="280"/>
    </w:p>
    <w:p>
      <w:pPr>
        <w:pStyle w:val="5"/>
        <w:ind w:firstLine="480"/>
      </w:pPr>
      <w:r>
        <w:rPr>
          <w:rFonts w:hint="eastAsia"/>
        </w:rPr>
        <w:t>根据钢沉井块段尺寸、重量、接高高度等进行吊装用起重船选型；水上接高吊装前，按起重船参数复核现场吊装工况，保证吊距、吊高满足施工要求；</w:t>
      </w:r>
    </w:p>
    <w:p>
      <w:pPr>
        <w:pStyle w:val="5"/>
        <w:ind w:firstLine="480"/>
      </w:pPr>
      <w:r>
        <w:rPr>
          <w:rFonts w:hint="eastAsia"/>
        </w:rPr>
        <w:t>接高前应安装钢沉井接高用临时构件，包括上下临时爬梯及走道、栏杆、焊接操作平台、导向限位、临时支撑、吊装用吊耳及吊具等；临时支撑设置在已安装钢沉井节段上，应能有效支撑沉井接高块段，且结构强度满足要求；吊耳及吊具设置应进行详细计算；</w:t>
      </w:r>
    </w:p>
    <w:p>
      <w:pPr>
        <w:pStyle w:val="5"/>
        <w:ind w:firstLine="480"/>
      </w:pPr>
      <w:r>
        <w:rPr>
          <w:rFonts w:hint="eastAsia"/>
        </w:rPr>
        <w:t>沉井接高前应调平，倾斜度不宜超过1/300，干舷高度不应小于</w:t>
      </w:r>
      <w:r>
        <w:t>2m</w:t>
      </w:r>
      <w:r>
        <w:rPr>
          <w:rFonts w:hint="eastAsia"/>
        </w:rPr>
        <w:t>；</w:t>
      </w:r>
    </w:p>
    <w:p>
      <w:pPr>
        <w:pStyle w:val="5"/>
        <w:ind w:firstLine="480"/>
      </w:pPr>
      <w:r>
        <w:rPr>
          <w:rFonts w:hint="eastAsia"/>
        </w:rPr>
        <w:t>接高前</w:t>
      </w:r>
      <w:r>
        <w:t>，</w:t>
      </w:r>
      <w:r>
        <w:rPr>
          <w:rFonts w:hint="eastAsia"/>
        </w:rPr>
        <w:t>应对已安装钢沉井顶面平面度进行复测，确保沉井接高的顺直度。</w:t>
      </w:r>
    </w:p>
    <w:p>
      <w:pPr>
        <w:pStyle w:val="4"/>
      </w:pPr>
      <w:bookmarkStart w:id="281" w:name="_Toc77763525"/>
      <w:bookmarkStart w:id="282" w:name="_Toc104109472"/>
      <w:r>
        <w:rPr>
          <w:rFonts w:hint="eastAsia"/>
        </w:rPr>
        <w:t>钢沉井接高施工时，应符合下列规定：</w:t>
      </w:r>
      <w:bookmarkEnd w:id="281"/>
      <w:bookmarkEnd w:id="282"/>
    </w:p>
    <w:p>
      <w:pPr>
        <w:pStyle w:val="5"/>
        <w:ind w:firstLine="480"/>
      </w:pPr>
      <w:r>
        <w:rPr>
          <w:rFonts w:hint="eastAsia"/>
        </w:rPr>
        <w:t>钢沉井吊装定位结束后，宜先进行定位焊，再对节点处的间隙、错边量以及节段拼装精度进行测量和调整，待接高段整体精确测量完成且符合设计要求后，再遵循对称的原则施工接高焊缝；</w:t>
      </w:r>
    </w:p>
    <w:p>
      <w:pPr>
        <w:pStyle w:val="5"/>
        <w:ind w:firstLine="480"/>
      </w:pPr>
      <w:r>
        <w:rPr>
          <w:rFonts w:hint="eastAsia"/>
        </w:rPr>
        <w:t>每一节段拼装焊接完成24h后应进行焊缝及密封性检测，合格后方可进行下一节段的拼装；</w:t>
      </w:r>
    </w:p>
    <w:p>
      <w:pPr>
        <w:pStyle w:val="5"/>
        <w:ind w:firstLine="480"/>
      </w:pPr>
      <w:r>
        <w:rPr>
          <w:rFonts w:hint="eastAsia"/>
        </w:rPr>
        <w:t>焊缝焊接验收合格后，应拆除钢沉井壁体上的导向限位、临时支撑、吊装用吊耳及吊具等；</w:t>
      </w:r>
    </w:p>
    <w:p>
      <w:pPr>
        <w:pStyle w:val="4"/>
        <w:rPr>
          <w:rFonts w:cs="Times New Roman"/>
        </w:rPr>
      </w:pPr>
      <w:bookmarkStart w:id="283" w:name="_Toc77763526"/>
      <w:bookmarkStart w:id="284" w:name="_Toc104109473"/>
      <w:r>
        <w:rPr>
          <w:rFonts w:hint="eastAsia"/>
        </w:rPr>
        <w:t>钢沉井分块接高时，除满足</w:t>
      </w:r>
      <w:r>
        <w:t>5.6.3</w:t>
      </w:r>
      <w:r>
        <w:rPr>
          <w:rFonts w:hint="eastAsia"/>
        </w:rPr>
        <w:t>相关规定外，还应符合下列规定：</w:t>
      </w:r>
      <w:bookmarkEnd w:id="283"/>
      <w:bookmarkEnd w:id="284"/>
    </w:p>
    <w:p>
      <w:pPr>
        <w:pStyle w:val="5"/>
        <w:ind w:firstLine="480"/>
      </w:pPr>
      <w:r>
        <w:rPr>
          <w:rFonts w:hint="eastAsia"/>
        </w:rPr>
        <w:t>接高应按拟定顺序进行，不得随意更改；</w:t>
      </w:r>
    </w:p>
    <w:p>
      <w:pPr>
        <w:pStyle w:val="5"/>
        <w:ind w:firstLine="480"/>
      </w:pPr>
      <w:r>
        <w:rPr>
          <w:rFonts w:hint="eastAsia"/>
        </w:rPr>
        <w:t>接高首个块段作为基准节段，其精度应严格控制，保证沉井安装的几何形状；</w:t>
      </w:r>
    </w:p>
    <w:p>
      <w:pPr>
        <w:pStyle w:val="5"/>
        <w:ind w:firstLine="480"/>
      </w:pPr>
      <w:r>
        <w:rPr>
          <w:rFonts w:hint="eastAsia"/>
        </w:rPr>
        <w:t>接高焊缝宜对称焊接，先焊分块间的竖向焊缝，后焊节与节间的水平焊缝</w:t>
      </w:r>
      <w:bookmarkStart w:id="285" w:name="_Toc69201726"/>
      <w:r>
        <w:rPr>
          <w:rFonts w:hint="eastAsia"/>
        </w:rPr>
        <w:t>。</w:t>
      </w:r>
    </w:p>
    <w:p>
      <w:pPr>
        <w:pStyle w:val="4"/>
      </w:pPr>
      <w:bookmarkStart w:id="286" w:name="_Toc77763527"/>
      <w:bookmarkStart w:id="287" w:name="_Toc104109474"/>
      <w:r>
        <w:rPr>
          <w:rFonts w:hint="eastAsia"/>
        </w:rPr>
        <w:t>钢沉井接高施工过程对沉井涂层造成破坏的，在每节钢沉井接高完成后，应及时修补。</w:t>
      </w:r>
      <w:bookmarkEnd w:id="286"/>
      <w:bookmarkEnd w:id="287"/>
    </w:p>
    <w:p>
      <w:pPr>
        <w:pStyle w:val="3"/>
        <w:spacing w:before="312"/>
      </w:pPr>
      <w:bookmarkStart w:id="288" w:name="_Toc112317332"/>
      <w:r>
        <w:rPr>
          <w:rFonts w:hint="eastAsia"/>
        </w:rPr>
        <w:t>隔舱混凝土浇筑</w:t>
      </w:r>
      <w:bookmarkEnd w:id="288"/>
    </w:p>
    <w:p>
      <w:pPr>
        <w:pStyle w:val="4"/>
      </w:pPr>
      <w:bookmarkStart w:id="289" w:name="_Toc77763529"/>
      <w:bookmarkStart w:id="290" w:name="_Toc104109476"/>
      <w:r>
        <w:rPr>
          <w:rFonts w:hint="eastAsia"/>
        </w:rPr>
        <w:t>隔舱混凝土应分次浇筑，首次一般为水下混凝土，其余为干浇混凝土；混凝土分次浇筑高度应根据混凝土供应能力、混凝土对沉井壁板压力、浇筑过程下沉量、施工工艺等确定。</w:t>
      </w:r>
      <w:bookmarkEnd w:id="289"/>
      <w:bookmarkEnd w:id="290"/>
    </w:p>
    <w:p>
      <w:pPr>
        <w:pStyle w:val="4"/>
      </w:pPr>
      <w:bookmarkStart w:id="291" w:name="_Toc77763530"/>
      <w:bookmarkStart w:id="292" w:name="_Toc104109477"/>
      <w:r>
        <w:rPr>
          <w:rFonts w:hint="eastAsia"/>
        </w:rPr>
        <w:t>隔舱混凝土浇筑应在沉井下沉至稳定深度、处于稳定支撑状态后进行，避免在软弱或不均匀地层进行隔舱混凝土浇筑，防止沉井在浇筑混凝土过程中产生不均匀沉降；严禁在取土下沉过程中进行混凝土浇筑作业。</w:t>
      </w:r>
      <w:bookmarkEnd w:id="291"/>
      <w:bookmarkEnd w:id="292"/>
    </w:p>
    <w:p>
      <w:pPr>
        <w:pStyle w:val="4"/>
      </w:pPr>
      <w:bookmarkStart w:id="293" w:name="_Toc77763531"/>
      <w:bookmarkStart w:id="294" w:name="_Toc104109478"/>
      <w:r>
        <w:rPr>
          <w:rFonts w:hint="eastAsia"/>
        </w:rPr>
        <w:t>混凝土应分舱对称浇筑，在浇筑过程中关注沉井的姿态、应力和挠度等监测数据，并根据实际监测数据对浇筑顺序进行调整。</w:t>
      </w:r>
      <w:bookmarkEnd w:id="293"/>
      <w:bookmarkEnd w:id="294"/>
    </w:p>
    <w:p>
      <w:pPr>
        <w:pStyle w:val="4"/>
      </w:pPr>
      <w:bookmarkStart w:id="295" w:name="_Toc77763532"/>
      <w:bookmarkStart w:id="296" w:name="_Toc104109479"/>
      <w:r>
        <w:rPr>
          <w:rFonts w:hint="eastAsia"/>
        </w:rPr>
        <w:t>应根据结构设计强度考虑浇筑速度和单次浇筑高度，浇筑过程中，可调节隔舱内注水高度或采取临时注水措施，确保隔舱混凝土浇筑过程中壁板承受的压力在允许范围内。</w:t>
      </w:r>
      <w:bookmarkEnd w:id="295"/>
      <w:bookmarkEnd w:id="296"/>
    </w:p>
    <w:p>
      <w:pPr>
        <w:pStyle w:val="4"/>
      </w:pPr>
      <w:bookmarkStart w:id="297" w:name="_Toc77763533"/>
      <w:bookmarkStart w:id="298" w:name="_Toc104109480"/>
      <w:r>
        <w:rPr>
          <w:rFonts w:hint="eastAsia"/>
        </w:rPr>
        <w:t>水下混凝土浇筑时，应符合下列规定：</w:t>
      </w:r>
      <w:bookmarkEnd w:id="297"/>
      <w:bookmarkEnd w:id="298"/>
    </w:p>
    <w:p>
      <w:pPr>
        <w:pStyle w:val="5"/>
        <w:ind w:firstLine="480"/>
      </w:pPr>
      <w:r>
        <w:rPr>
          <w:rFonts w:hint="eastAsia"/>
        </w:rPr>
        <w:t>水下混凝土应采取特殊性能混凝土，具有良好的不离析、自流平、长时间可工作性及自密实性，且硬化后体积稳定性良好；</w:t>
      </w:r>
    </w:p>
    <w:p>
      <w:pPr>
        <w:pStyle w:val="5"/>
        <w:ind w:firstLine="480"/>
      </w:pPr>
      <w:r>
        <w:rPr>
          <w:rFonts w:hint="eastAsia"/>
        </w:rPr>
        <w:t>提前安装隔舱混凝土浇筑所需的拖泵平台、集料斗平台等；拖泵支腿在拖泵平台上应焊接牢固；</w:t>
      </w:r>
    </w:p>
    <w:p>
      <w:pPr>
        <w:pStyle w:val="5"/>
        <w:ind w:firstLine="480"/>
      </w:pPr>
      <w:r>
        <w:rPr>
          <w:rFonts w:hint="eastAsia"/>
        </w:rPr>
        <w:t>水下混凝土浇筑应采用能有效避免水下混凝土被水洗而产生离析的工艺措施；</w:t>
      </w:r>
    </w:p>
    <w:p>
      <w:pPr>
        <w:pStyle w:val="5"/>
        <w:ind w:firstLine="480"/>
      </w:pPr>
      <w:r>
        <w:rPr>
          <w:rFonts w:hint="eastAsia"/>
        </w:rPr>
        <w:t>水下混凝土应按拟定的浇筑顺序分舱浇筑，单个隔舱应连续浇筑，不得中断，单个隔舱浇筑时间不得大于水下混凝土初凝时间；</w:t>
      </w:r>
    </w:p>
    <w:p>
      <w:pPr>
        <w:pStyle w:val="5"/>
        <w:ind w:firstLine="480"/>
      </w:pPr>
      <w:r>
        <w:rPr>
          <w:rFonts w:hint="eastAsia"/>
        </w:rPr>
        <w:t>导管布置应能覆盖整个隔舱，每个转角宜设置一套导管，导管之间应布置测点。</w:t>
      </w:r>
    </w:p>
    <w:p>
      <w:pPr>
        <w:pStyle w:val="4"/>
      </w:pPr>
      <w:bookmarkStart w:id="299" w:name="_Toc77763534"/>
      <w:bookmarkStart w:id="300" w:name="_Toc104109481"/>
      <w:r>
        <w:rPr>
          <w:rFonts w:hint="eastAsia"/>
        </w:rPr>
        <w:t>干浇混凝土，其材料、拌制、运输、浇筑和养护应符合现行行业标准《</w:t>
      </w:r>
      <w:r>
        <w:rPr>
          <w:rFonts w:hint="eastAsia" w:cs="Times New Roman"/>
        </w:rPr>
        <w:t>公路桥涵施工技术规范</w:t>
      </w:r>
      <w:r>
        <w:rPr>
          <w:rFonts w:hint="eastAsia"/>
        </w:rPr>
        <w:t>》（JTG</w:t>
      </w:r>
      <w:r>
        <w:t xml:space="preserve">/T </w:t>
      </w:r>
      <w:r>
        <w:rPr>
          <w:rFonts w:hint="eastAsia"/>
        </w:rPr>
        <w:t>F</w:t>
      </w:r>
      <w:r>
        <w:t>50</w:t>
      </w:r>
      <w:r>
        <w:rPr>
          <w:rFonts w:hint="eastAsia"/>
        </w:rPr>
        <w:t>）的规定。</w:t>
      </w:r>
      <w:bookmarkEnd w:id="299"/>
      <w:bookmarkEnd w:id="300"/>
    </w:p>
    <w:p>
      <w:pPr>
        <w:ind w:firstLine="480"/>
      </w:pPr>
    </w:p>
    <w:p>
      <w:pPr>
        <w:pStyle w:val="3"/>
        <w:spacing w:before="312"/>
      </w:pPr>
      <w:bookmarkStart w:id="301" w:name="_Toc71191516"/>
      <w:bookmarkStart w:id="302" w:name="_Toc104109482"/>
      <w:bookmarkStart w:id="303" w:name="_Toc112317333"/>
      <w:r>
        <w:rPr>
          <w:rFonts w:hint="eastAsia"/>
        </w:rPr>
        <w:t>混凝土沉井接高</w:t>
      </w:r>
      <w:bookmarkEnd w:id="301"/>
      <w:bookmarkEnd w:id="302"/>
      <w:bookmarkEnd w:id="303"/>
    </w:p>
    <w:p>
      <w:pPr>
        <w:pStyle w:val="4"/>
      </w:pPr>
      <w:bookmarkStart w:id="304" w:name="_Toc71191517"/>
      <w:bookmarkStart w:id="305" w:name="_Toc77763536"/>
      <w:bookmarkStart w:id="306" w:name="_Toc104109483"/>
      <w:r>
        <w:rPr>
          <w:rFonts w:hint="eastAsia"/>
        </w:rPr>
        <w:t>避免在沉井刃脚处于软硬地层交界附近时接高，以防止沉井在浇筑混凝土过程中产生不均匀沉降。</w:t>
      </w:r>
      <w:bookmarkEnd w:id="304"/>
      <w:bookmarkEnd w:id="305"/>
      <w:bookmarkEnd w:id="306"/>
    </w:p>
    <w:p>
      <w:pPr>
        <w:pStyle w:val="4"/>
      </w:pPr>
      <w:bookmarkStart w:id="307" w:name="_Toc71191524"/>
      <w:bookmarkStart w:id="308" w:name="_Toc77763537"/>
      <w:bookmarkStart w:id="309" w:name="_Toc104109484"/>
      <w:bookmarkStart w:id="310" w:name="_Toc71191518"/>
      <w:r>
        <w:rPr>
          <w:rFonts w:hint="eastAsia"/>
        </w:rPr>
        <w:t>当沉井偏斜超过容许值时，为保证施工质量和避免下沉困难，严禁竖直向上接高，应将沉井纠偏且垂直度不大于1/</w:t>
      </w:r>
      <w:r>
        <w:t>200</w:t>
      </w:r>
      <w:r>
        <w:rPr>
          <w:rFonts w:hint="eastAsia"/>
        </w:rPr>
        <w:t>，再行接高。</w:t>
      </w:r>
      <w:bookmarkEnd w:id="307"/>
      <w:bookmarkEnd w:id="308"/>
      <w:bookmarkEnd w:id="309"/>
    </w:p>
    <w:p>
      <w:pPr>
        <w:pStyle w:val="4"/>
      </w:pPr>
      <w:bookmarkStart w:id="311" w:name="_Toc77763538"/>
      <w:bookmarkStart w:id="312" w:name="_Toc104109485"/>
      <w:r>
        <w:rPr>
          <w:rFonts w:hint="eastAsia"/>
        </w:rPr>
        <w:t>接高时，沉井干舷高度不应小于</w:t>
      </w:r>
      <w:r>
        <w:t>2m</w:t>
      </w:r>
      <w:r>
        <w:rPr>
          <w:rFonts w:hint="eastAsia"/>
        </w:rPr>
        <w:t>，</w:t>
      </w:r>
      <w:r>
        <w:rPr>
          <w:rFonts w:hint="eastAsia"/>
          <w:color w:val="000000" w:themeColor="text1"/>
          <w14:textFill>
            <w14:solidFill>
              <w14:schemeClr w14:val="tx1"/>
            </w14:solidFill>
          </w14:textFill>
        </w:rPr>
        <w:t>并考虑沉井接高引起的下沉量。</w:t>
      </w:r>
      <w:bookmarkEnd w:id="310"/>
      <w:bookmarkEnd w:id="311"/>
      <w:bookmarkEnd w:id="312"/>
    </w:p>
    <w:p>
      <w:pPr>
        <w:pStyle w:val="4"/>
      </w:pPr>
      <w:bookmarkStart w:id="313" w:name="_Toc77763539"/>
      <w:bookmarkStart w:id="314" w:name="_Toc71191519"/>
      <w:bookmarkStart w:id="315" w:name="_Toc104109486"/>
      <w:r>
        <w:rPr>
          <w:rFonts w:hint="eastAsia"/>
        </w:rPr>
        <w:t>为防止沉井在接髙时突然下沉或倾斜，接高时应均匀对称浇筑混凝土。</w:t>
      </w:r>
      <w:bookmarkEnd w:id="313"/>
      <w:bookmarkEnd w:id="314"/>
      <w:bookmarkEnd w:id="315"/>
    </w:p>
    <w:p>
      <w:pPr>
        <w:pStyle w:val="4"/>
      </w:pPr>
      <w:bookmarkStart w:id="316" w:name="_Toc71191520"/>
      <w:bookmarkStart w:id="317" w:name="_Toc77763540"/>
      <w:bookmarkStart w:id="318" w:name="_Toc104109487"/>
      <w:r>
        <w:rPr>
          <w:rFonts w:hint="eastAsia"/>
        </w:rPr>
        <w:t>混凝土沉井接高过程中的钢筋工程、模板工程、混凝土工程</w:t>
      </w:r>
      <w:bookmarkEnd w:id="316"/>
      <w:bookmarkEnd w:id="317"/>
      <w:r>
        <w:rPr>
          <w:rFonts w:hint="eastAsia"/>
        </w:rPr>
        <w:t>应符合现行标准《公路桥涵施工技术规范》（JTG</w:t>
      </w:r>
      <w:r>
        <w:t xml:space="preserve">/T </w:t>
      </w:r>
      <w:r>
        <w:rPr>
          <w:rFonts w:hint="eastAsia"/>
        </w:rPr>
        <w:t>F</w:t>
      </w:r>
      <w:r>
        <w:t>50</w:t>
      </w:r>
      <w:r>
        <w:rPr>
          <w:rFonts w:hint="eastAsia"/>
        </w:rPr>
        <w:t>）的规定。</w:t>
      </w:r>
      <w:bookmarkEnd w:id="285"/>
      <w:bookmarkEnd w:id="318"/>
      <w:bookmarkStart w:id="319" w:name="_Toc69201727"/>
    </w:p>
    <w:p>
      <w:pPr>
        <w:pStyle w:val="3"/>
        <w:spacing w:before="312"/>
      </w:pPr>
      <w:bookmarkStart w:id="320" w:name="_Toc112317334"/>
      <w:r>
        <w:rPr>
          <w:rFonts w:hint="eastAsia"/>
        </w:rPr>
        <w:t>沉井下沉</w:t>
      </w:r>
      <w:bookmarkEnd w:id="319"/>
      <w:r>
        <w:rPr>
          <w:rFonts w:hint="eastAsia"/>
        </w:rPr>
        <w:t>施工</w:t>
      </w:r>
      <w:bookmarkEnd w:id="320"/>
    </w:p>
    <w:p>
      <w:pPr>
        <w:pStyle w:val="4"/>
      </w:pPr>
      <w:r>
        <w:rPr>
          <w:rFonts w:hint="eastAsia"/>
        </w:rPr>
        <w:t>水中沉井取土下沉应根据建设条件、工艺方案等情况，合理布置施工船舶、取土平台、取土设备、供水/气管、电缆、排泥管等；泥水宜经沉淀分离等无害化处理后再行排放。</w:t>
      </w:r>
    </w:p>
    <w:p>
      <w:pPr>
        <w:pStyle w:val="4"/>
      </w:pPr>
      <w:bookmarkStart w:id="321" w:name="_Toc104109489"/>
      <w:bookmarkStart w:id="322" w:name="_Toc71191546"/>
      <w:bookmarkStart w:id="323" w:name="_Toc77763548"/>
      <w:r>
        <w:rPr>
          <w:rFonts w:hint="eastAsia"/>
        </w:rPr>
        <w:t>沉井取土下沉施工前，应完成以下准备工作：</w:t>
      </w:r>
      <w:bookmarkEnd w:id="321"/>
    </w:p>
    <w:p>
      <w:pPr>
        <w:pStyle w:val="5"/>
        <w:ind w:firstLine="480"/>
      </w:pPr>
      <w:r>
        <w:rPr>
          <w:rFonts w:hint="eastAsia"/>
        </w:rPr>
        <w:t>应根据沉井下沉计算结果，判断各阶段是否会出现突沉或下沉困难，确定下沉方法和相应技术措施；</w:t>
      </w:r>
    </w:p>
    <w:p>
      <w:pPr>
        <w:pStyle w:val="5"/>
        <w:ind w:firstLine="480"/>
      </w:pPr>
      <w:r>
        <w:rPr>
          <w:rFonts w:hint="eastAsia"/>
        </w:rPr>
        <w:t>应配备足够的用于取土下沉施工的起重设备，起重设备的布置应考虑方便移位，宜尽量覆盖所有取土断面，减少因起重设备无法到达造成的取土盲区；</w:t>
      </w:r>
    </w:p>
    <w:p>
      <w:pPr>
        <w:pStyle w:val="5"/>
        <w:ind w:firstLine="480"/>
      </w:pPr>
      <w:r>
        <w:rPr>
          <w:rFonts w:hint="eastAsia"/>
        </w:rPr>
        <w:t>起重设备的选择应考虑沉井下沉过程中姿态偏斜造成的不利影响，应满足起重设备对倾斜度等方面的安全要求。</w:t>
      </w:r>
    </w:p>
    <w:p>
      <w:pPr>
        <w:pStyle w:val="4"/>
      </w:pPr>
      <w:bookmarkStart w:id="324" w:name="_Toc104109490"/>
      <w:r>
        <w:rPr>
          <w:rFonts w:hint="eastAsia"/>
        </w:rPr>
        <w:t>水中沉井下沉应采用不排水下沉法，沉井下沉过程中应采取井内补水措施，严禁井内水位低于井外水位。</w:t>
      </w:r>
      <w:bookmarkEnd w:id="324"/>
    </w:p>
    <w:p>
      <w:pPr>
        <w:pStyle w:val="4"/>
      </w:pPr>
      <w:bookmarkStart w:id="325" w:name="_Toc104109491"/>
      <w:r>
        <w:rPr>
          <w:rFonts w:hint="eastAsia"/>
        </w:rPr>
        <w:t>取土方式可采取机械取土或气举吸泥取土的方式，取土设备的选择应符合下列规定：</w:t>
      </w:r>
      <w:bookmarkEnd w:id="325"/>
    </w:p>
    <w:p>
      <w:pPr>
        <w:pStyle w:val="5"/>
        <w:ind w:firstLine="480"/>
      </w:pPr>
      <w:r>
        <w:rPr>
          <w:rFonts w:hint="eastAsia"/>
        </w:rPr>
        <w:t>应根据地质条件、土体性状、取土方法配备足够的取土设备；宜采用能实现取土深度精确控制、可自动作业的智能化取土设备；</w:t>
      </w:r>
    </w:p>
    <w:p>
      <w:pPr>
        <w:pStyle w:val="5"/>
        <w:ind w:firstLine="480"/>
      </w:pPr>
      <w:r>
        <w:rPr>
          <w:rFonts w:hint="eastAsia"/>
        </w:rPr>
        <w:t>针对粉土、砂类土，可主选气举吸泥取土设备；针对黏性土，可采取机械破土设备与气举取土设备相配合；针对软岩、砾石等硬质土，可采取机械破土设备配合抓斗取土。</w:t>
      </w:r>
    </w:p>
    <w:p>
      <w:pPr>
        <w:pStyle w:val="5"/>
        <w:ind w:firstLine="480"/>
      </w:pPr>
      <w:r>
        <w:rPr>
          <w:rFonts w:hint="eastAsia"/>
        </w:rPr>
        <w:t>应配备一定数量的盲区取土设备，可实现刃脚和隔墙下盲区土体的破除或定点挖取。</w:t>
      </w:r>
    </w:p>
    <w:p>
      <w:pPr>
        <w:pStyle w:val="4"/>
      </w:pPr>
      <w:bookmarkStart w:id="326" w:name="_Toc104109492"/>
      <w:r>
        <w:rPr>
          <w:rFonts w:hint="eastAsia"/>
        </w:rPr>
        <w:t>水中大型沉井取土下沉应兼顾下沉效率和结构受力安全，宜采取分区分层取土的方法，且应符合下列规定：</w:t>
      </w:r>
      <w:bookmarkEnd w:id="326"/>
    </w:p>
    <w:p>
      <w:pPr>
        <w:pStyle w:val="5"/>
        <w:ind w:firstLine="480"/>
      </w:pPr>
      <w:r>
        <w:rPr>
          <w:rFonts w:hint="eastAsia"/>
        </w:rPr>
        <w:t>分区应根据沉井平面几何形状、起重及取土设备的配置来划分，应便于取土施工及沉井姿态调整；</w:t>
      </w:r>
    </w:p>
    <w:p>
      <w:pPr>
        <w:pStyle w:val="5"/>
        <w:ind w:firstLine="480"/>
      </w:pPr>
      <w:r>
        <w:rPr>
          <w:rFonts w:hint="eastAsia"/>
        </w:rPr>
        <w:t>分区取土的顺序宜先中间、后四周对称、均匀进行，当因结构受力安全无法满足要求时，可采用预留核心土的开挖方法；</w:t>
      </w:r>
    </w:p>
    <w:p>
      <w:pPr>
        <w:pStyle w:val="5"/>
        <w:ind w:firstLine="480"/>
      </w:pPr>
      <w:r>
        <w:rPr>
          <w:rFonts w:hint="eastAsia" w:eastAsia="宋体"/>
        </w:rPr>
        <w:t>应谨慎采用“大锅底开挖”下沉方式，当采用该下沉方式，应进行结构受力验算，并经设计单位确认；</w:t>
      </w:r>
    </w:p>
    <w:p>
      <w:pPr>
        <w:pStyle w:val="5"/>
        <w:ind w:firstLine="480"/>
      </w:pPr>
      <w:r>
        <w:rPr>
          <w:rFonts w:hint="eastAsia"/>
        </w:rPr>
        <w:t>分层的厚度应根据土体类别而定，砂类土不宜超过2m，黏性土不宜超过1</w:t>
      </w:r>
      <w:r>
        <w:t>.5</w:t>
      </w:r>
      <w:r>
        <w:rPr>
          <w:rFonts w:hint="eastAsia"/>
        </w:rPr>
        <w:t>m，防止突沉或倾斜。</w:t>
      </w:r>
    </w:p>
    <w:p>
      <w:pPr>
        <w:pStyle w:val="4"/>
      </w:pPr>
      <w:bookmarkStart w:id="327" w:name="_Toc104109493"/>
      <w:r>
        <w:rPr>
          <w:rFonts w:hint="eastAsia"/>
        </w:rPr>
        <w:t>沉井取土下沉过程中应保证外圈刃脚具有一定的埋深，砂类土不宜小于</w:t>
      </w:r>
      <w:r>
        <w:t>2.0</w:t>
      </w:r>
      <w:r>
        <w:rPr>
          <w:rFonts w:hint="eastAsia"/>
        </w:rPr>
        <w:t>m，黏性土不宜小于1</w:t>
      </w:r>
      <w:r>
        <w:t>.0</w:t>
      </w:r>
      <w:r>
        <w:rPr>
          <w:rFonts w:hint="eastAsia"/>
        </w:rPr>
        <w:t>m，防止沉井周边土体涌入井内，造成涌砂或突沉。</w:t>
      </w:r>
      <w:bookmarkEnd w:id="327"/>
    </w:p>
    <w:p>
      <w:pPr>
        <w:pStyle w:val="4"/>
      </w:pPr>
      <w:bookmarkStart w:id="328" w:name="_Toc104109494"/>
      <w:r>
        <w:rPr>
          <w:rFonts w:hint="eastAsia"/>
        </w:rPr>
        <w:t>中间隔舱取土应分层分区对称进行，应严格控制沉井中间隔舱超取土深度，砂类土不宜大于2</w:t>
      </w:r>
      <w:r>
        <w:t>.0</w:t>
      </w:r>
      <w:r>
        <w:rPr>
          <w:rFonts w:hint="eastAsia"/>
        </w:rPr>
        <w:t>m，黏性土不宜大于</w:t>
      </w:r>
      <w:r>
        <w:t>3.0</w:t>
      </w:r>
      <w:r>
        <w:rPr>
          <w:rFonts w:hint="eastAsia"/>
        </w:rPr>
        <w:t>m。</w:t>
      </w:r>
      <w:bookmarkEnd w:id="328"/>
    </w:p>
    <w:p>
      <w:pPr>
        <w:pStyle w:val="4"/>
      </w:pPr>
      <w:bookmarkStart w:id="329" w:name="_Toc104109495"/>
      <w:r>
        <w:rPr>
          <w:rFonts w:hint="eastAsia"/>
        </w:rPr>
        <w:t>采用空气吸泥下沉施工应符合下列规定：</w:t>
      </w:r>
      <w:bookmarkEnd w:id="329"/>
    </w:p>
    <w:p>
      <w:pPr>
        <w:pStyle w:val="5"/>
        <w:ind w:firstLine="480"/>
      </w:pPr>
      <w:r>
        <w:rPr>
          <w:rFonts w:hint="eastAsia"/>
        </w:rPr>
        <w:t>应配备足够的供气、供电、供水设备，其供给能力（容量）参照</w:t>
      </w:r>
      <w:r>
        <w:t>4.6</w:t>
      </w:r>
      <w:r>
        <w:rPr>
          <w:rFonts w:hint="eastAsia"/>
        </w:rPr>
        <w:t>条相关理论计算；</w:t>
      </w:r>
    </w:p>
    <w:p>
      <w:pPr>
        <w:pStyle w:val="5"/>
        <w:ind w:firstLine="480"/>
      </w:pPr>
      <w:r>
        <w:rPr>
          <w:rFonts w:hint="eastAsia"/>
        </w:rPr>
        <w:t>应配备专用的供水、供气管道系统，供气压力结合水深、吸泥管管径、吸泥扬程而定，吸泥管吸泥口处的有效气压不宜小于0</w:t>
      </w:r>
      <w:r>
        <w:t>.4</w:t>
      </w:r>
      <w:r>
        <w:rPr>
          <w:rFonts w:hint="eastAsia"/>
        </w:rPr>
        <w:t>MPa；</w:t>
      </w:r>
    </w:p>
    <w:p>
      <w:pPr>
        <w:pStyle w:val="5"/>
        <w:ind w:firstLine="480"/>
      </w:pPr>
      <w:r>
        <w:rPr>
          <w:rFonts w:hint="eastAsia"/>
        </w:rPr>
        <w:t>在黏土层下沉时，应与高压水冲射破土相结合，边破土边吸泥；</w:t>
      </w:r>
    </w:p>
    <w:p>
      <w:pPr>
        <w:pStyle w:val="5"/>
        <w:ind w:firstLine="480"/>
      </w:pPr>
      <w:r>
        <w:rPr>
          <w:rFonts w:hint="eastAsia"/>
        </w:rPr>
        <w:t>吸泥施工时应及时掌握排出泥水的浓度和沉井内各点泥面标高；</w:t>
      </w:r>
    </w:p>
    <w:p>
      <w:pPr>
        <w:pStyle w:val="5"/>
        <w:ind w:firstLine="480"/>
      </w:pPr>
      <w:r>
        <w:rPr>
          <w:rFonts w:hint="eastAsia"/>
        </w:rPr>
        <w:t>单个隔舱内吸泥点应均匀布置，不宜采用单隔舱单点大锅底吸泥的方式。</w:t>
      </w:r>
    </w:p>
    <w:p>
      <w:pPr>
        <w:pStyle w:val="4"/>
        <w:rPr>
          <w:rFonts w:cs="Times New Roman"/>
        </w:rPr>
      </w:pPr>
      <w:bookmarkStart w:id="330" w:name="_Toc104109496"/>
      <w:r>
        <w:rPr>
          <w:rFonts w:hint="eastAsia"/>
        </w:rPr>
        <w:t>在下沉过程中，应定期对四周河床冲刷进行监测；下沉全过程中，外刃脚底距离河床面或防护体顶的距离不应小于</w:t>
      </w:r>
      <w:r>
        <w:t>2</w:t>
      </w:r>
      <w:r>
        <w:rPr>
          <w:rFonts w:hint="eastAsia"/>
        </w:rPr>
        <w:t>.0m；当河床冲刷深度过深时，应及时进行沉井周边河床防护，可采取抛石、抛沙袋等措施进行防护。</w:t>
      </w:r>
      <w:bookmarkEnd w:id="330"/>
    </w:p>
    <w:p>
      <w:pPr>
        <w:pStyle w:val="4"/>
        <w:rPr>
          <w:rFonts w:cs="Times New Roman"/>
        </w:rPr>
      </w:pPr>
      <w:bookmarkStart w:id="331" w:name="_Toc104109497"/>
      <w:r>
        <w:rPr>
          <w:rFonts w:hint="eastAsia"/>
        </w:rPr>
        <w:t>沉井下沉过程中应实时监测沉井姿态，当沉井姿态发生倾斜或平面位置发生偏离时，可采用下列一种或几种方法纠偏：</w:t>
      </w:r>
      <w:bookmarkEnd w:id="331"/>
    </w:p>
    <w:p>
      <w:pPr>
        <w:pStyle w:val="5"/>
        <w:ind w:firstLine="480"/>
      </w:pPr>
      <w:r>
        <w:rPr>
          <w:rFonts w:hint="eastAsia"/>
        </w:rPr>
        <w:t>不均匀取土纠偏；</w:t>
      </w:r>
    </w:p>
    <w:p>
      <w:pPr>
        <w:pStyle w:val="5"/>
        <w:ind w:firstLine="480"/>
      </w:pPr>
      <w:r>
        <w:rPr>
          <w:rFonts w:hint="eastAsia"/>
        </w:rPr>
        <w:t>空气幕等减阻纠偏；</w:t>
      </w:r>
    </w:p>
    <w:p>
      <w:pPr>
        <w:pStyle w:val="5"/>
        <w:ind w:firstLine="480"/>
      </w:pPr>
      <w:r>
        <w:rPr>
          <w:rFonts w:hint="eastAsia"/>
        </w:rPr>
        <w:t>压重纠偏。</w:t>
      </w:r>
    </w:p>
    <w:p>
      <w:pPr>
        <w:pStyle w:val="4"/>
      </w:pPr>
      <w:bookmarkStart w:id="332" w:name="_Toc104109498"/>
      <w:r>
        <w:rPr>
          <w:rFonts w:hint="eastAsia"/>
        </w:rPr>
        <w:t>当沉井出现除外圈刃脚支撑而其它部位端阻力全部解除仍难以下沉的情况时，不宜采取掏取外刃脚下土体的方式进行下沉，可采取空气幕、触变泥浆、压重等助沉方法配合沉井下沉，根据实际情况可选取一种或多种助沉措施。</w:t>
      </w:r>
      <w:bookmarkEnd w:id="332"/>
    </w:p>
    <w:p>
      <w:pPr>
        <w:pStyle w:val="4"/>
      </w:pPr>
      <w:bookmarkStart w:id="333" w:name="_Toc104109499"/>
      <w:r>
        <w:rPr>
          <w:rFonts w:hint="eastAsia"/>
        </w:rPr>
        <w:t>采用空气幕助沉时，应符合下列规定：</w:t>
      </w:r>
      <w:bookmarkEnd w:id="333"/>
    </w:p>
    <w:p>
      <w:pPr>
        <w:pStyle w:val="5"/>
        <w:ind w:firstLine="480"/>
      </w:pPr>
      <w:r>
        <w:rPr>
          <w:rFonts w:hint="eastAsia"/>
        </w:rPr>
        <w:t>施工前应根据计算确定空气压缩机和储气包的数量；</w:t>
      </w:r>
    </w:p>
    <w:p>
      <w:pPr>
        <w:pStyle w:val="5"/>
        <w:ind w:firstLine="480"/>
      </w:pPr>
      <w:r>
        <w:rPr>
          <w:rFonts w:hint="eastAsia"/>
        </w:rPr>
        <w:t>气龛和供气管路应提前设计与制作，应采取防堵塞措施，确保空气幕能重复开启使用；钢沉井应在出坞前安装完毕，混凝土沉井在现场现浇接高时一并安装完毕，沉井施工过程中，应采取措施确保供气管路的完好性及密闭性；</w:t>
      </w:r>
    </w:p>
    <w:p>
      <w:pPr>
        <w:pStyle w:val="5"/>
        <w:ind w:firstLine="480"/>
      </w:pPr>
      <w:r>
        <w:rPr>
          <w:rFonts w:hint="eastAsia"/>
        </w:rPr>
        <w:t>空气幕送气压力宜大于气龛入土深度理论水压力的1.4倍～2.0倍；</w:t>
      </w:r>
    </w:p>
    <w:p>
      <w:pPr>
        <w:pStyle w:val="5"/>
        <w:ind w:firstLine="480"/>
      </w:pPr>
      <w:r>
        <w:rPr>
          <w:rFonts w:hint="eastAsia"/>
        </w:rPr>
        <w:t>空气幕开启应自上而下进行，关闭应自下而上进行，空气幕的开启宜采用分区集中控制；</w:t>
      </w:r>
    </w:p>
    <w:p>
      <w:pPr>
        <w:pStyle w:val="5"/>
        <w:ind w:firstLine="480"/>
      </w:pPr>
      <w:r>
        <w:rPr>
          <w:rFonts w:hint="eastAsia"/>
        </w:rPr>
        <w:t>空气幕助沉时间应根据实际情况确定，不宜超过2h。</w:t>
      </w:r>
    </w:p>
    <w:p>
      <w:pPr>
        <w:pStyle w:val="4"/>
      </w:pPr>
      <w:bookmarkStart w:id="334" w:name="_Toc104109500"/>
      <w:r>
        <w:rPr>
          <w:rFonts w:hint="eastAsia"/>
        </w:rPr>
        <w:t>采用压重助沉时，应对堆载压重作用下的沉井结构安全进行验算，应对称均匀压重，不应采取降低井内水位的方法进行压重。</w:t>
      </w:r>
      <w:bookmarkEnd w:id="334"/>
    </w:p>
    <w:bookmarkEnd w:id="322"/>
    <w:bookmarkEnd w:id="323"/>
    <w:p>
      <w:pPr>
        <w:pStyle w:val="3"/>
        <w:spacing w:before="312"/>
      </w:pPr>
      <w:bookmarkStart w:id="335" w:name="_Toc71191603"/>
      <w:bookmarkStart w:id="336" w:name="_Toc104109501"/>
      <w:bookmarkStart w:id="337" w:name="_Toc112317335"/>
      <w:r>
        <w:rPr>
          <w:rFonts w:hint="eastAsia"/>
        </w:rPr>
        <w:t>终沉清基</w:t>
      </w:r>
      <w:bookmarkEnd w:id="335"/>
      <w:bookmarkEnd w:id="336"/>
      <w:bookmarkEnd w:id="337"/>
    </w:p>
    <w:p>
      <w:pPr>
        <w:pStyle w:val="4"/>
      </w:pPr>
      <w:bookmarkStart w:id="338" w:name="_Toc77763554"/>
      <w:bookmarkStart w:id="339" w:name="_Toc71191549"/>
      <w:bookmarkStart w:id="340" w:name="_Toc104109502"/>
      <w:r>
        <w:rPr>
          <w:rFonts w:hint="eastAsia"/>
        </w:rPr>
        <w:t>沉井下沉到距离设计标高</w:t>
      </w:r>
      <w:r>
        <w:t>2m</w:t>
      </w:r>
      <w:r>
        <w:rPr>
          <w:rFonts w:hint="eastAsia"/>
        </w:rPr>
        <w:t>时，应放慢下沉速度，下沉速度不宜超过</w:t>
      </w:r>
      <w:r>
        <w:t>30cm/</w:t>
      </w:r>
      <w:r>
        <w:rPr>
          <w:rFonts w:hint="eastAsia"/>
        </w:rPr>
        <w:t>d；清基前沉井的下沉深度应有一定的预留量，具体预留量可根据实际情况进行确定；在软土地层中可预留</w:t>
      </w:r>
      <w:r>
        <w:t>100mm~200mm</w:t>
      </w:r>
      <w:r>
        <w:rPr>
          <w:rFonts w:hint="eastAsia"/>
        </w:rPr>
        <w:t>，在砂土等硬土层中可预留</w:t>
      </w:r>
      <w:r>
        <w:t>50mm~100mm</w:t>
      </w:r>
      <w:r>
        <w:rPr>
          <w:rFonts w:hint="eastAsia"/>
        </w:rPr>
        <w:t>。</w:t>
      </w:r>
      <w:bookmarkEnd w:id="338"/>
      <w:bookmarkEnd w:id="339"/>
      <w:bookmarkEnd w:id="340"/>
    </w:p>
    <w:p>
      <w:pPr>
        <w:pStyle w:val="4"/>
      </w:pPr>
      <w:bookmarkStart w:id="341" w:name="_Toc77763555"/>
      <w:bookmarkStart w:id="342" w:name="_Toc71191604"/>
      <w:bookmarkStart w:id="343" w:name="_Toc104109503"/>
      <w:r>
        <w:rPr>
          <w:rFonts w:hint="eastAsia"/>
        </w:rPr>
        <w:t>基底浮泥或岩面残存物（风化岩碎块、卵石、砂等）均应清除，使封底混凝土与基底间不致产生有害夹层；清理后的有效面积不得小于设计要求。</w:t>
      </w:r>
      <w:bookmarkEnd w:id="341"/>
      <w:bookmarkEnd w:id="342"/>
      <w:bookmarkEnd w:id="343"/>
    </w:p>
    <w:p>
      <w:pPr>
        <w:pStyle w:val="4"/>
      </w:pPr>
      <w:bookmarkStart w:id="344" w:name="_Toc71191605"/>
      <w:bookmarkStart w:id="345" w:name="_Toc77763556"/>
      <w:bookmarkStart w:id="346" w:name="_Toc104109504"/>
      <w:r>
        <w:rPr>
          <w:rFonts w:hint="eastAsia"/>
        </w:rPr>
        <w:t>岩石类基底清基应符合下列规定：</w:t>
      </w:r>
      <w:bookmarkEnd w:id="344"/>
      <w:bookmarkEnd w:id="345"/>
      <w:bookmarkEnd w:id="346"/>
    </w:p>
    <w:p>
      <w:pPr>
        <w:pStyle w:val="5"/>
        <w:ind w:firstLine="480"/>
      </w:pPr>
      <w:r>
        <w:rPr>
          <w:rFonts w:hint="eastAsia"/>
        </w:rPr>
        <w:t>清基时，应将风化岩层全部清除，沉井封底进入新鲜岩层的深度应满足设计要求；</w:t>
      </w:r>
    </w:p>
    <w:p>
      <w:pPr>
        <w:pStyle w:val="5"/>
        <w:ind w:firstLine="480"/>
      </w:pPr>
      <w:r>
        <w:rPr>
          <w:rFonts w:hint="eastAsia"/>
        </w:rPr>
        <w:t>新鲜岩面不平时，应根据新鲜岩面实地标高变化情况，将基底凿成凹凸不平或台阶形状，以保证封底质量；</w:t>
      </w:r>
    </w:p>
    <w:p>
      <w:pPr>
        <w:pStyle w:val="5"/>
        <w:ind w:firstLine="480"/>
      </w:pPr>
      <w:r>
        <w:rPr>
          <w:rFonts w:hint="eastAsia"/>
        </w:rPr>
        <w:t>基底检验合格后，应及时封底。</w:t>
      </w:r>
    </w:p>
    <w:p>
      <w:pPr>
        <w:pStyle w:val="4"/>
      </w:pPr>
      <w:bookmarkStart w:id="347" w:name="_Toc77763557"/>
      <w:bookmarkStart w:id="348" w:name="_Toc71191606"/>
      <w:bookmarkStart w:id="349" w:name="_Toc104109505"/>
      <w:r>
        <w:rPr>
          <w:rFonts w:hint="eastAsia"/>
        </w:rPr>
        <w:t>非岩类基底清基应符合下列规定：</w:t>
      </w:r>
      <w:bookmarkEnd w:id="347"/>
      <w:bookmarkEnd w:id="348"/>
      <w:bookmarkEnd w:id="349"/>
    </w:p>
    <w:p>
      <w:pPr>
        <w:pStyle w:val="5"/>
        <w:ind w:firstLine="480"/>
      </w:pPr>
      <w:r>
        <w:rPr>
          <w:rFonts w:hint="eastAsia"/>
        </w:rPr>
        <w:t>井孔内、刃脚及隔墙下的土层均应进行清理，以形成锅底状；锅底尺寸（井孔下泥面高度、隔墙下泥面高度、刃脚斜面露出长度）应满足设计要求；</w:t>
      </w:r>
    </w:p>
    <w:p>
      <w:pPr>
        <w:pStyle w:val="5"/>
        <w:ind w:firstLine="480"/>
      </w:pPr>
      <w:r>
        <w:rPr>
          <w:rFonts w:hint="eastAsia"/>
        </w:rPr>
        <w:t>清基方式应根据终沉下沉计算确定，可采用大锅底（全断面）或小锅底（分区）施工工艺，需经设计单位确认。</w:t>
      </w:r>
    </w:p>
    <w:p>
      <w:pPr>
        <w:pStyle w:val="5"/>
        <w:ind w:firstLine="480"/>
      </w:pPr>
      <w:r>
        <w:rPr>
          <w:rFonts w:hint="eastAsia"/>
        </w:rPr>
        <w:t>清基宜在可视化检测手段的配合下，反复清理，直至达到设计要求为止；</w:t>
      </w:r>
    </w:p>
    <w:p>
      <w:pPr>
        <w:pStyle w:val="5"/>
        <w:ind w:firstLine="480"/>
      </w:pPr>
      <w:r>
        <w:rPr>
          <w:rFonts w:hint="eastAsia"/>
        </w:rPr>
        <w:t>清基时可采用射水、吸泥或抓泥工艺交替进行；</w:t>
      </w:r>
    </w:p>
    <w:p>
      <w:pPr>
        <w:pStyle w:val="5"/>
        <w:ind w:firstLine="480"/>
      </w:pPr>
      <w:r>
        <w:rPr>
          <w:rFonts w:hint="eastAsia"/>
        </w:rPr>
        <w:t>隔墙较厚，隔墙下土层难于取土时，可采用弯头吸泥机清除，隔墙及井孔下面不应有深坑、陡坡、陡坎；</w:t>
      </w:r>
    </w:p>
    <w:p>
      <w:pPr>
        <w:pStyle w:val="5"/>
        <w:ind w:firstLine="480"/>
      </w:pPr>
      <w:r>
        <w:rPr>
          <w:rFonts w:hint="eastAsia"/>
        </w:rPr>
        <w:t>清基时，应控制泥面高度，不得过分扰动外刃脚下土层、以免引起翻砂或超沉；</w:t>
      </w:r>
    </w:p>
    <w:p>
      <w:pPr>
        <w:pStyle w:val="5"/>
        <w:ind w:firstLine="480"/>
      </w:pPr>
      <w:r>
        <w:rPr>
          <w:rFonts w:hint="eastAsia"/>
        </w:rPr>
        <w:t>基底范围内的浮泥松土厚度应满足设计要求，设计无要求时以厚度不超过</w:t>
      </w:r>
      <w:r>
        <w:t>10cm</w:t>
      </w:r>
      <w:r>
        <w:rPr>
          <w:rFonts w:hint="eastAsia"/>
        </w:rPr>
        <w:t>为宜，封底混凝土高度范围内的井壁、隔墙表面的泥污应清洗干净；</w:t>
      </w:r>
    </w:p>
    <w:p>
      <w:pPr>
        <w:pStyle w:val="5"/>
        <w:ind w:firstLine="480"/>
      </w:pPr>
      <w:r>
        <w:rPr>
          <w:rFonts w:hint="eastAsia"/>
        </w:rPr>
        <w:t>清理后宜采取可视化检测手段检查基坑尺寸及各孔基底标高，并采用测锤进行复核。</w:t>
      </w:r>
    </w:p>
    <w:p>
      <w:pPr>
        <w:pStyle w:val="4"/>
      </w:pPr>
      <w:bookmarkStart w:id="350" w:name="_Toc77763560"/>
      <w:bookmarkStart w:id="351" w:name="_Toc71191609"/>
      <w:bookmarkStart w:id="352" w:name="_Toc104109506"/>
      <w:r>
        <w:rPr>
          <w:rFonts w:hint="eastAsia"/>
        </w:rPr>
        <w:t>基底检验应包括下列内容：</w:t>
      </w:r>
      <w:bookmarkEnd w:id="350"/>
      <w:bookmarkEnd w:id="351"/>
      <w:bookmarkEnd w:id="352"/>
    </w:p>
    <w:p>
      <w:pPr>
        <w:pStyle w:val="5"/>
        <w:ind w:firstLine="480"/>
      </w:pPr>
      <w:r>
        <w:rPr>
          <w:rFonts w:hint="eastAsia"/>
        </w:rPr>
        <w:t>基底平整度、基底高程；</w:t>
      </w:r>
    </w:p>
    <w:p>
      <w:pPr>
        <w:pStyle w:val="5"/>
        <w:ind w:firstLine="480"/>
      </w:pPr>
      <w:r>
        <w:rPr>
          <w:rFonts w:hint="eastAsia"/>
        </w:rPr>
        <w:t>基底的地质情况、承载力是否与设计要求相符；</w:t>
      </w:r>
    </w:p>
    <w:p>
      <w:pPr>
        <w:pStyle w:val="5"/>
        <w:ind w:firstLine="480"/>
      </w:pPr>
      <w:r>
        <w:rPr>
          <w:rFonts w:hint="eastAsia"/>
        </w:rPr>
        <w:t>基底处理情况是否符合规范要求。</w:t>
      </w:r>
    </w:p>
    <w:p>
      <w:pPr>
        <w:pStyle w:val="4"/>
      </w:pPr>
      <w:bookmarkStart w:id="353" w:name="_Toc71191611"/>
      <w:bookmarkStart w:id="354" w:name="_Toc77763562"/>
      <w:bookmarkStart w:id="355" w:name="_Toc104109508"/>
      <w:r>
        <w:rPr>
          <w:rFonts w:hint="eastAsia"/>
        </w:rPr>
        <w:t>沉井终沉后的允许偏差应符合表</w:t>
      </w:r>
      <w:r>
        <w:t>5.10.6</w:t>
      </w:r>
      <w:r>
        <w:rPr>
          <w:rFonts w:hint="eastAsia"/>
        </w:rPr>
        <w:t>的规定</w:t>
      </w:r>
      <w:bookmarkEnd w:id="353"/>
      <w:bookmarkEnd w:id="354"/>
      <w:bookmarkEnd w:id="355"/>
      <w:r>
        <w:rPr>
          <w:rFonts w:hint="eastAsia"/>
        </w:rPr>
        <w:t>。</w:t>
      </w:r>
    </w:p>
    <w:p>
      <w:pPr>
        <w:pStyle w:val="8"/>
        <w:ind w:firstLine="420"/>
        <w:rPr>
          <w:b w:val="0"/>
        </w:rPr>
      </w:pPr>
      <w:r>
        <w:rPr>
          <w:rFonts w:hint="eastAsia"/>
          <w:b w:val="0"/>
        </w:rPr>
        <w:t>表</w:t>
      </w:r>
      <w:r>
        <w:rPr>
          <w:b w:val="0"/>
        </w:rPr>
        <w:t xml:space="preserve">5.10.6 </w:t>
      </w:r>
      <w:r>
        <w:rPr>
          <w:rFonts w:hint="eastAsia"/>
          <w:b w:val="0"/>
        </w:rPr>
        <w:t>沉井终沉后允许偏差</w:t>
      </w:r>
    </w:p>
    <w:tbl>
      <w:tblPr>
        <w:tblStyle w:val="27"/>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134"/>
        <w:gridCol w:w="1276"/>
        <w:gridCol w:w="1134"/>
        <w:gridCol w:w="1134"/>
        <w:gridCol w:w="2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59"/>
            </w:pPr>
            <w:r>
              <w:rPr>
                <w:rFonts w:hint="eastAsia"/>
              </w:rPr>
              <w:t>序号</w:t>
            </w:r>
          </w:p>
        </w:tc>
        <w:tc>
          <w:tcPr>
            <w:tcW w:w="2410" w:type="dxa"/>
            <w:gridSpan w:val="2"/>
            <w:vAlign w:val="center"/>
          </w:tcPr>
          <w:p>
            <w:pPr>
              <w:pStyle w:val="59"/>
            </w:pPr>
            <w:r>
              <w:rPr>
                <w:rFonts w:hint="eastAsia"/>
              </w:rPr>
              <w:t>项目</w:t>
            </w:r>
          </w:p>
        </w:tc>
        <w:tc>
          <w:tcPr>
            <w:tcW w:w="1134" w:type="dxa"/>
            <w:vAlign w:val="center"/>
          </w:tcPr>
          <w:p>
            <w:pPr>
              <w:pStyle w:val="59"/>
            </w:pPr>
            <w:r>
              <w:rPr>
                <w:rFonts w:hint="eastAsia"/>
              </w:rPr>
              <w:t>允许误差</w:t>
            </w:r>
          </w:p>
        </w:tc>
        <w:tc>
          <w:tcPr>
            <w:tcW w:w="1134" w:type="dxa"/>
            <w:vAlign w:val="center"/>
          </w:tcPr>
          <w:p>
            <w:pPr>
              <w:pStyle w:val="59"/>
            </w:pPr>
            <w:r>
              <w:rPr>
                <w:rFonts w:hint="eastAsia"/>
              </w:rPr>
              <w:t>检查方法</w:t>
            </w:r>
          </w:p>
        </w:tc>
        <w:tc>
          <w:tcPr>
            <w:tcW w:w="2443" w:type="dxa"/>
            <w:vAlign w:val="center"/>
          </w:tcPr>
          <w:p>
            <w:pPr>
              <w:pStyle w:val="59"/>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pStyle w:val="59"/>
            </w:pPr>
            <w:r>
              <w:t>1</w:t>
            </w:r>
          </w:p>
        </w:tc>
        <w:tc>
          <w:tcPr>
            <w:tcW w:w="1134" w:type="dxa"/>
            <w:vMerge w:val="restart"/>
            <w:vAlign w:val="center"/>
          </w:tcPr>
          <w:p>
            <w:pPr>
              <w:pStyle w:val="59"/>
            </w:pPr>
            <w:r>
              <w:rPr>
                <w:rFonts w:hint="eastAsia"/>
              </w:rPr>
              <w:t>平面偏位</w:t>
            </w:r>
          </w:p>
        </w:tc>
        <w:tc>
          <w:tcPr>
            <w:tcW w:w="1276" w:type="dxa"/>
            <w:vAlign w:val="center"/>
          </w:tcPr>
          <w:p>
            <w:pPr>
              <w:pStyle w:val="59"/>
            </w:pPr>
            <w:r>
              <w:rPr>
                <w:rFonts w:hint="eastAsia"/>
              </w:rPr>
              <w:t>沉井顶面</w:t>
            </w:r>
          </w:p>
        </w:tc>
        <w:tc>
          <w:tcPr>
            <w:tcW w:w="1134" w:type="dxa"/>
            <w:vMerge w:val="restart"/>
            <w:vAlign w:val="center"/>
          </w:tcPr>
          <w:p>
            <w:pPr>
              <w:pStyle w:val="59"/>
            </w:pPr>
            <w:r>
              <w:t>50cm</w:t>
            </w:r>
          </w:p>
        </w:tc>
        <w:tc>
          <w:tcPr>
            <w:tcW w:w="1134" w:type="dxa"/>
            <w:vMerge w:val="restart"/>
            <w:vAlign w:val="center"/>
          </w:tcPr>
          <w:p>
            <w:pPr>
              <w:pStyle w:val="59"/>
            </w:pPr>
            <w:r>
              <w:rPr>
                <w:rFonts w:hint="eastAsia"/>
              </w:rPr>
              <w:t>水准仪</w:t>
            </w:r>
          </w:p>
        </w:tc>
        <w:tc>
          <w:tcPr>
            <w:tcW w:w="2443" w:type="dxa"/>
            <w:vAlign w:val="center"/>
          </w:tcPr>
          <w:p>
            <w:pPr>
              <w:pStyle w:val="5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pStyle w:val="59"/>
            </w:pPr>
          </w:p>
        </w:tc>
        <w:tc>
          <w:tcPr>
            <w:tcW w:w="1134" w:type="dxa"/>
            <w:vMerge w:val="continue"/>
            <w:vAlign w:val="center"/>
          </w:tcPr>
          <w:p>
            <w:pPr>
              <w:pStyle w:val="59"/>
            </w:pPr>
          </w:p>
        </w:tc>
        <w:tc>
          <w:tcPr>
            <w:tcW w:w="1276" w:type="dxa"/>
            <w:vAlign w:val="center"/>
          </w:tcPr>
          <w:p>
            <w:pPr>
              <w:pStyle w:val="59"/>
            </w:pPr>
            <w:r>
              <w:rPr>
                <w:rFonts w:hint="eastAsia"/>
              </w:rPr>
              <w:t>沉井底面</w:t>
            </w:r>
          </w:p>
        </w:tc>
        <w:tc>
          <w:tcPr>
            <w:tcW w:w="1134" w:type="dxa"/>
            <w:vMerge w:val="continue"/>
            <w:vAlign w:val="center"/>
          </w:tcPr>
          <w:p>
            <w:pPr>
              <w:pStyle w:val="59"/>
            </w:pPr>
          </w:p>
        </w:tc>
        <w:tc>
          <w:tcPr>
            <w:tcW w:w="1134" w:type="dxa"/>
            <w:vMerge w:val="continue"/>
            <w:vAlign w:val="center"/>
          </w:tcPr>
          <w:p>
            <w:pPr>
              <w:pStyle w:val="59"/>
            </w:pPr>
          </w:p>
        </w:tc>
        <w:tc>
          <w:tcPr>
            <w:tcW w:w="2443" w:type="dxa"/>
            <w:vAlign w:val="center"/>
          </w:tcPr>
          <w:p>
            <w:pPr>
              <w:pStyle w:val="5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pStyle w:val="59"/>
            </w:pPr>
            <w:r>
              <w:t>2</w:t>
            </w:r>
          </w:p>
        </w:tc>
        <w:tc>
          <w:tcPr>
            <w:tcW w:w="1134" w:type="dxa"/>
            <w:vMerge w:val="restart"/>
            <w:vAlign w:val="center"/>
          </w:tcPr>
          <w:p>
            <w:pPr>
              <w:pStyle w:val="59"/>
            </w:pPr>
            <w:r>
              <w:rPr>
                <w:rFonts w:hint="eastAsia"/>
              </w:rPr>
              <w:t>倾斜度</w:t>
            </w:r>
          </w:p>
        </w:tc>
        <w:tc>
          <w:tcPr>
            <w:tcW w:w="1276" w:type="dxa"/>
            <w:vAlign w:val="center"/>
          </w:tcPr>
          <w:p>
            <w:pPr>
              <w:pStyle w:val="59"/>
            </w:pPr>
            <w:r>
              <w:rPr>
                <w:rFonts w:hint="eastAsia"/>
              </w:rPr>
              <w:t>横向倾斜度</w:t>
            </w:r>
          </w:p>
        </w:tc>
        <w:tc>
          <w:tcPr>
            <w:tcW w:w="1134" w:type="dxa"/>
            <w:vMerge w:val="restart"/>
            <w:vAlign w:val="center"/>
          </w:tcPr>
          <w:p>
            <w:pPr>
              <w:pStyle w:val="59"/>
            </w:pPr>
            <w:r>
              <w:t>1/150</w:t>
            </w:r>
          </w:p>
        </w:tc>
        <w:tc>
          <w:tcPr>
            <w:tcW w:w="1134" w:type="dxa"/>
            <w:vMerge w:val="restart"/>
            <w:vAlign w:val="center"/>
          </w:tcPr>
          <w:p>
            <w:pPr>
              <w:pStyle w:val="59"/>
            </w:pPr>
            <w:r>
              <w:rPr>
                <w:rFonts w:hint="eastAsia"/>
              </w:rPr>
              <w:t>全站仪</w:t>
            </w:r>
          </w:p>
        </w:tc>
        <w:tc>
          <w:tcPr>
            <w:tcW w:w="2443" w:type="dxa"/>
            <w:vAlign w:val="center"/>
          </w:tcPr>
          <w:p>
            <w:pPr>
              <w:pStyle w:val="5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pStyle w:val="59"/>
            </w:pPr>
          </w:p>
        </w:tc>
        <w:tc>
          <w:tcPr>
            <w:tcW w:w="1134" w:type="dxa"/>
            <w:vMerge w:val="continue"/>
            <w:vAlign w:val="center"/>
          </w:tcPr>
          <w:p>
            <w:pPr>
              <w:pStyle w:val="59"/>
            </w:pPr>
          </w:p>
        </w:tc>
        <w:tc>
          <w:tcPr>
            <w:tcW w:w="1276" w:type="dxa"/>
            <w:vAlign w:val="center"/>
          </w:tcPr>
          <w:p>
            <w:pPr>
              <w:pStyle w:val="59"/>
            </w:pPr>
            <w:r>
              <w:rPr>
                <w:rFonts w:hint="eastAsia"/>
              </w:rPr>
              <w:t>纵向倾斜度</w:t>
            </w:r>
          </w:p>
        </w:tc>
        <w:tc>
          <w:tcPr>
            <w:tcW w:w="1134" w:type="dxa"/>
            <w:vMerge w:val="continue"/>
            <w:vAlign w:val="center"/>
          </w:tcPr>
          <w:p>
            <w:pPr>
              <w:pStyle w:val="59"/>
            </w:pPr>
          </w:p>
        </w:tc>
        <w:tc>
          <w:tcPr>
            <w:tcW w:w="1134" w:type="dxa"/>
            <w:vMerge w:val="continue"/>
            <w:vAlign w:val="center"/>
          </w:tcPr>
          <w:p>
            <w:pPr>
              <w:pStyle w:val="59"/>
            </w:pPr>
          </w:p>
        </w:tc>
        <w:tc>
          <w:tcPr>
            <w:tcW w:w="2443" w:type="dxa"/>
            <w:vAlign w:val="center"/>
          </w:tcPr>
          <w:p>
            <w:pPr>
              <w:pStyle w:val="5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pStyle w:val="59"/>
            </w:pPr>
          </w:p>
        </w:tc>
        <w:tc>
          <w:tcPr>
            <w:tcW w:w="1134" w:type="dxa"/>
            <w:vMerge w:val="continue"/>
            <w:vAlign w:val="center"/>
          </w:tcPr>
          <w:p>
            <w:pPr>
              <w:pStyle w:val="59"/>
            </w:pPr>
          </w:p>
        </w:tc>
        <w:tc>
          <w:tcPr>
            <w:tcW w:w="1276" w:type="dxa"/>
            <w:vAlign w:val="center"/>
          </w:tcPr>
          <w:p>
            <w:pPr>
              <w:pStyle w:val="59"/>
            </w:pPr>
            <w:r>
              <w:rPr>
                <w:rFonts w:hint="eastAsia"/>
              </w:rPr>
              <w:t>整体倾斜度</w:t>
            </w:r>
          </w:p>
        </w:tc>
        <w:tc>
          <w:tcPr>
            <w:tcW w:w="1134" w:type="dxa"/>
            <w:vMerge w:val="continue"/>
            <w:vAlign w:val="center"/>
          </w:tcPr>
          <w:p>
            <w:pPr>
              <w:pStyle w:val="59"/>
            </w:pPr>
          </w:p>
        </w:tc>
        <w:tc>
          <w:tcPr>
            <w:tcW w:w="1134" w:type="dxa"/>
            <w:vMerge w:val="continue"/>
            <w:vAlign w:val="center"/>
          </w:tcPr>
          <w:p>
            <w:pPr>
              <w:pStyle w:val="59"/>
            </w:pPr>
          </w:p>
        </w:tc>
        <w:tc>
          <w:tcPr>
            <w:tcW w:w="2443" w:type="dxa"/>
            <w:vAlign w:val="center"/>
          </w:tcPr>
          <w:p>
            <w:pPr>
              <w:pStyle w:val="5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59"/>
            </w:pPr>
            <w:r>
              <w:t>3</w:t>
            </w:r>
          </w:p>
        </w:tc>
        <w:tc>
          <w:tcPr>
            <w:tcW w:w="2410" w:type="dxa"/>
            <w:gridSpan w:val="2"/>
            <w:vAlign w:val="center"/>
          </w:tcPr>
          <w:p>
            <w:pPr>
              <w:pStyle w:val="59"/>
            </w:pPr>
            <w:r>
              <w:rPr>
                <w:rFonts w:hint="eastAsia"/>
              </w:rPr>
              <w:t>扭转角</w:t>
            </w:r>
          </w:p>
        </w:tc>
        <w:tc>
          <w:tcPr>
            <w:tcW w:w="1134" w:type="dxa"/>
            <w:vAlign w:val="center"/>
          </w:tcPr>
          <w:p>
            <w:pPr>
              <w:pStyle w:val="59"/>
            </w:pPr>
            <w:r>
              <w:t>1º</w:t>
            </w:r>
          </w:p>
        </w:tc>
        <w:tc>
          <w:tcPr>
            <w:tcW w:w="1134" w:type="dxa"/>
            <w:vAlign w:val="center"/>
          </w:tcPr>
          <w:p>
            <w:pPr>
              <w:pStyle w:val="59"/>
            </w:pPr>
            <w:r>
              <w:rPr>
                <w:rFonts w:hint="eastAsia"/>
              </w:rPr>
              <w:t>全站仪</w:t>
            </w:r>
          </w:p>
        </w:tc>
        <w:tc>
          <w:tcPr>
            <w:tcW w:w="2443" w:type="dxa"/>
            <w:vAlign w:val="center"/>
          </w:tcPr>
          <w:p>
            <w:pPr>
              <w:pStyle w:val="59"/>
            </w:pPr>
            <w:r>
              <w:rPr>
                <w:rFonts w:hint="eastAsia"/>
              </w:rPr>
              <w:t>圆形沉井除外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59"/>
            </w:pPr>
            <w:r>
              <w:t>4</w:t>
            </w:r>
          </w:p>
        </w:tc>
        <w:tc>
          <w:tcPr>
            <w:tcW w:w="2410" w:type="dxa"/>
            <w:gridSpan w:val="2"/>
            <w:vAlign w:val="center"/>
          </w:tcPr>
          <w:p>
            <w:pPr>
              <w:pStyle w:val="59"/>
            </w:pPr>
            <w:r>
              <w:rPr>
                <w:rFonts w:hint="eastAsia"/>
              </w:rPr>
              <w:t>终沉标高</w:t>
            </w:r>
          </w:p>
        </w:tc>
        <w:tc>
          <w:tcPr>
            <w:tcW w:w="1134" w:type="dxa"/>
            <w:vAlign w:val="center"/>
          </w:tcPr>
          <w:p>
            <w:pPr>
              <w:pStyle w:val="59"/>
            </w:pPr>
            <w:r>
              <w:rPr>
                <w:rFonts w:hint="eastAsia"/>
              </w:rPr>
              <w:t>满足设计要求</w:t>
            </w:r>
          </w:p>
        </w:tc>
        <w:tc>
          <w:tcPr>
            <w:tcW w:w="1134" w:type="dxa"/>
            <w:vAlign w:val="center"/>
          </w:tcPr>
          <w:p>
            <w:pPr>
              <w:pStyle w:val="59"/>
            </w:pPr>
            <w:r>
              <w:rPr>
                <w:rFonts w:hint="eastAsia"/>
              </w:rPr>
              <w:t>水准仪、测绳</w:t>
            </w:r>
          </w:p>
        </w:tc>
        <w:tc>
          <w:tcPr>
            <w:tcW w:w="2443" w:type="dxa"/>
            <w:vAlign w:val="center"/>
          </w:tcPr>
          <w:p>
            <w:pPr>
              <w:pStyle w:val="59"/>
            </w:pPr>
          </w:p>
        </w:tc>
      </w:tr>
    </w:tbl>
    <w:p>
      <w:pPr>
        <w:pStyle w:val="3"/>
        <w:spacing w:before="312"/>
      </w:pPr>
      <w:bookmarkStart w:id="356" w:name="_Toc112317336"/>
      <w:bookmarkStart w:id="357" w:name="_Toc71191612"/>
      <w:r>
        <w:rPr>
          <w:rFonts w:hint="eastAsia"/>
        </w:rPr>
        <w:t>封底混凝土施工</w:t>
      </w:r>
      <w:bookmarkEnd w:id="356"/>
      <w:bookmarkEnd w:id="357"/>
    </w:p>
    <w:p>
      <w:pPr>
        <w:pStyle w:val="4"/>
      </w:pPr>
      <w:bookmarkStart w:id="358" w:name="_Toc77763564"/>
      <w:bookmarkStart w:id="359" w:name="_Toc71191613"/>
      <w:bookmarkStart w:id="360" w:name="_Toc104109510"/>
      <w:r>
        <w:rPr>
          <w:rFonts w:hint="eastAsia"/>
        </w:rPr>
        <w:t>基底检验合格后，沉井下沉速度小于10mm/24h时，方</w:t>
      </w:r>
      <w:r>
        <w:t>可进行</w:t>
      </w:r>
      <w:r>
        <w:rPr>
          <w:rFonts w:hint="eastAsia"/>
        </w:rPr>
        <w:t>封底。</w:t>
      </w:r>
      <w:bookmarkEnd w:id="358"/>
      <w:bookmarkEnd w:id="359"/>
      <w:bookmarkEnd w:id="360"/>
    </w:p>
    <w:p>
      <w:pPr>
        <w:pStyle w:val="4"/>
      </w:pPr>
      <w:bookmarkStart w:id="361" w:name="_Toc77763565"/>
      <w:bookmarkStart w:id="362" w:name="_Toc71191615"/>
      <w:bookmarkStart w:id="363" w:name="_Toc104109511"/>
      <w:r>
        <w:rPr>
          <w:rFonts w:hint="eastAsia"/>
        </w:rPr>
        <w:t>大型沉井应根据封底混凝土方量、混凝土拌制和浇筑能力，采取分区封底的方案，分区方式可采用碎石封堵或找平混凝土封堵。</w:t>
      </w:r>
      <w:bookmarkEnd w:id="361"/>
      <w:bookmarkEnd w:id="362"/>
      <w:bookmarkEnd w:id="363"/>
    </w:p>
    <w:p>
      <w:pPr>
        <w:pStyle w:val="4"/>
      </w:pPr>
      <w:bookmarkStart w:id="364" w:name="_Toc71191616"/>
      <w:bookmarkStart w:id="365" w:name="_Toc77763566"/>
      <w:bookmarkStart w:id="366" w:name="_Toc104109512"/>
      <w:r>
        <w:rPr>
          <w:rFonts w:hint="eastAsia"/>
        </w:rPr>
        <w:t>封底混凝土应遵循对称的原则分区浇筑。</w:t>
      </w:r>
      <w:bookmarkEnd w:id="364"/>
      <w:bookmarkEnd w:id="365"/>
      <w:bookmarkEnd w:id="366"/>
    </w:p>
    <w:p>
      <w:pPr>
        <w:pStyle w:val="4"/>
      </w:pPr>
      <w:bookmarkStart w:id="367" w:name="_Toc77763568"/>
      <w:bookmarkStart w:id="368" w:name="_Toc71191618"/>
      <w:bookmarkStart w:id="369" w:name="_Toc104109514"/>
      <w:r>
        <w:rPr>
          <w:rFonts w:hint="eastAsia"/>
        </w:rPr>
        <w:t>当采用垂直导管法进行水下混凝土封底时，应符合下列规定：</w:t>
      </w:r>
      <w:bookmarkEnd w:id="367"/>
      <w:bookmarkEnd w:id="368"/>
      <w:bookmarkEnd w:id="369"/>
    </w:p>
    <w:p>
      <w:pPr>
        <w:pStyle w:val="5"/>
        <w:ind w:firstLine="480"/>
      </w:pPr>
      <w:r>
        <w:rPr>
          <w:rFonts w:hint="eastAsia"/>
        </w:rPr>
        <w:t>浇筑封底水下混凝土时，导管的间隔及数量，应根椐导管作用半径及封底面积确定；</w:t>
      </w:r>
    </w:p>
    <w:p>
      <w:pPr>
        <w:pStyle w:val="5"/>
        <w:ind w:firstLine="480"/>
      </w:pPr>
      <w:r>
        <w:rPr>
          <w:rFonts w:hint="eastAsia"/>
        </w:rPr>
        <w:t>用多根导管浇筑时，首封应从低点向高点、一端向另一端顺序进行，使混凝土标高保持大致相同，再均匀进行浇筑，确保该区域混凝土面均匀上升；</w:t>
      </w:r>
    </w:p>
    <w:p>
      <w:pPr>
        <w:pStyle w:val="5"/>
        <w:ind w:firstLine="480"/>
      </w:pPr>
      <w:r>
        <w:rPr>
          <w:rFonts w:hint="eastAsia"/>
        </w:rPr>
        <w:t>每根导管开始浇筑时所用的混凝土坍落度宜采用下限，首批混凝土需要数量应通过计算确定；</w:t>
      </w:r>
    </w:p>
    <w:p>
      <w:pPr>
        <w:pStyle w:val="5"/>
        <w:ind w:firstLine="480"/>
      </w:pPr>
      <w:r>
        <w:rPr>
          <w:rFonts w:hint="eastAsia"/>
        </w:rPr>
        <w:t>在浇筑过程中，</w:t>
      </w:r>
      <w:bookmarkStart w:id="370" w:name="_Hlk91246504"/>
      <w:r>
        <w:rPr>
          <w:rFonts w:hint="eastAsia"/>
        </w:rPr>
        <w:t>导管应随混凝土面升高而提升</w:t>
      </w:r>
      <w:bookmarkEnd w:id="370"/>
      <w:r>
        <w:rPr>
          <w:rFonts w:hint="eastAsia"/>
        </w:rPr>
        <w:t>，导管埋深应与导管内混凝土下落深度相适应，一般不宜小于表5</w:t>
      </w:r>
      <w:r>
        <w:t>.11.</w:t>
      </w:r>
      <w:r>
        <w:rPr>
          <w:rFonts w:hint="eastAsia"/>
        </w:rPr>
        <w:t>4</w:t>
      </w:r>
      <w:r>
        <w:t>-1</w:t>
      </w:r>
      <w:r>
        <w:rPr>
          <w:rFonts w:hint="eastAsia"/>
        </w:rPr>
        <w:t>的规定。用多根导管浇筑时，导管埋深不宜小于表5</w:t>
      </w:r>
      <w:r>
        <w:t>.11.</w:t>
      </w:r>
      <w:r>
        <w:rPr>
          <w:rFonts w:hint="eastAsia"/>
        </w:rPr>
        <w:t>4</w:t>
      </w:r>
      <w:r>
        <w:t>-2</w:t>
      </w:r>
      <w:r>
        <w:rPr>
          <w:rFonts w:hint="eastAsia"/>
        </w:rPr>
        <w:t>的规定；</w:t>
      </w:r>
    </w:p>
    <w:p>
      <w:pPr>
        <w:pStyle w:val="5"/>
        <w:ind w:firstLine="480"/>
      </w:pPr>
      <w:r>
        <w:rPr>
          <w:rFonts w:hint="eastAsia"/>
        </w:rPr>
        <w:t>在浇筑过程中，应注意混凝土的堆高和扩展情况，准确调整坍落度和导管埋深，使每盘混凝土浇筑后形成适宜的堆高和不陡于</w:t>
      </w:r>
      <w:r>
        <w:t>1</w:t>
      </w:r>
      <w:r>
        <w:rPr>
          <w:rFonts w:hint="eastAsia"/>
        </w:rPr>
        <w:t>:5的流动坡度，抽拔导管应确保导管不进水；混凝土面的最终浇筑高度，应比设计值高出不小于</w:t>
      </w:r>
      <w:r>
        <w:t>15cm</w:t>
      </w:r>
      <w:r>
        <w:rPr>
          <w:rFonts w:hint="eastAsia"/>
        </w:rPr>
        <w:t>；</w:t>
      </w:r>
    </w:p>
    <w:p>
      <w:pPr>
        <w:pStyle w:val="5"/>
        <w:ind w:firstLine="480"/>
      </w:pPr>
      <w:r>
        <w:rPr>
          <w:rFonts w:hint="eastAsia"/>
        </w:rPr>
        <w:t>在封底混凝土施工的过程中，要保证封底过程中沉井内外水位平衡，施工过程中混凝土始终处于静水压力状态。</w:t>
      </w:r>
    </w:p>
    <w:p>
      <w:pPr>
        <w:pStyle w:val="8"/>
        <w:ind w:firstLine="420"/>
        <w:rPr>
          <w:b w:val="0"/>
        </w:rPr>
      </w:pPr>
      <w:r>
        <w:rPr>
          <w:rFonts w:hint="eastAsia"/>
          <w:b w:val="0"/>
        </w:rPr>
        <w:t>表</w:t>
      </w:r>
      <w:r>
        <w:rPr>
          <w:b w:val="0"/>
        </w:rPr>
        <w:t>5.11.</w:t>
      </w:r>
      <w:r>
        <w:rPr>
          <w:rFonts w:hint="eastAsia"/>
          <w:b w:val="0"/>
        </w:rPr>
        <w:t>4</w:t>
      </w:r>
      <w:r>
        <w:rPr>
          <w:b w:val="0"/>
        </w:rPr>
        <w:t xml:space="preserve">-1 </w:t>
      </w:r>
      <w:r>
        <w:rPr>
          <w:rFonts w:hint="eastAsia"/>
          <w:b w:val="0"/>
        </w:rPr>
        <w:t>不同浇筑深度导管的最小埋深</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2112"/>
        <w:gridCol w:w="964"/>
        <w:gridCol w:w="964"/>
        <w:gridCol w:w="964"/>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0" w:hRule="exact"/>
          <w:jc w:val="center"/>
        </w:trPr>
        <w:tc>
          <w:tcPr>
            <w:tcW w:w="2078" w:type="dxa"/>
            <w:tcBorders>
              <w:bottom w:val="single" w:color="auto" w:sz="4" w:space="0"/>
            </w:tcBorders>
            <w:shd w:val="clear" w:color="auto" w:fill="FFFFFF"/>
            <w:vAlign w:val="center"/>
          </w:tcPr>
          <w:p>
            <w:pPr>
              <w:pStyle w:val="59"/>
            </w:pPr>
            <w:r>
              <w:rPr>
                <w:rFonts w:hint="eastAsia"/>
              </w:rPr>
              <w:t>浇筑深度</w:t>
            </w:r>
            <w:r>
              <w:t>(m)</w:t>
            </w:r>
          </w:p>
        </w:tc>
        <w:tc>
          <w:tcPr>
            <w:tcW w:w="964" w:type="dxa"/>
            <w:tcBorders>
              <w:bottom w:val="single" w:color="auto" w:sz="4" w:space="0"/>
            </w:tcBorders>
            <w:shd w:val="clear" w:color="auto" w:fill="FFFFFF"/>
            <w:vAlign w:val="center"/>
          </w:tcPr>
          <w:p>
            <w:pPr>
              <w:pStyle w:val="59"/>
            </w:pPr>
            <w:r>
              <w:rPr>
                <w:rFonts w:hint="eastAsia"/>
              </w:rPr>
              <w:t>≤</w:t>
            </w:r>
            <w:r>
              <w:t>10</w:t>
            </w:r>
          </w:p>
        </w:tc>
        <w:tc>
          <w:tcPr>
            <w:tcW w:w="964" w:type="dxa"/>
            <w:tcBorders>
              <w:bottom w:val="single" w:color="auto" w:sz="4" w:space="0"/>
            </w:tcBorders>
            <w:shd w:val="clear" w:color="auto" w:fill="FFFFFF"/>
            <w:vAlign w:val="center"/>
          </w:tcPr>
          <w:p>
            <w:pPr>
              <w:pStyle w:val="59"/>
            </w:pPr>
            <w:r>
              <w:t>10</w:t>
            </w:r>
            <w:r>
              <w:rPr>
                <w:rFonts w:hint="eastAsia" w:eastAsia="MS Mincho"/>
              </w:rPr>
              <w:t>〜</w:t>
            </w:r>
            <w:r>
              <w:t>15</w:t>
            </w:r>
          </w:p>
        </w:tc>
        <w:tc>
          <w:tcPr>
            <w:tcW w:w="964" w:type="dxa"/>
            <w:tcBorders>
              <w:bottom w:val="single" w:color="auto" w:sz="4" w:space="0"/>
            </w:tcBorders>
            <w:shd w:val="clear" w:color="auto" w:fill="FFFFFF"/>
            <w:vAlign w:val="center"/>
          </w:tcPr>
          <w:p>
            <w:pPr>
              <w:pStyle w:val="59"/>
            </w:pPr>
            <w:r>
              <w:t>15</w:t>
            </w:r>
            <w:r>
              <w:rPr>
                <w:rFonts w:hint="eastAsia" w:eastAsia="MS Mincho"/>
              </w:rPr>
              <w:t>〜</w:t>
            </w:r>
            <w:r>
              <w:t>20</w:t>
            </w:r>
          </w:p>
        </w:tc>
        <w:tc>
          <w:tcPr>
            <w:tcW w:w="964" w:type="dxa"/>
            <w:tcBorders>
              <w:bottom w:val="single" w:color="auto" w:sz="4" w:space="0"/>
            </w:tcBorders>
            <w:shd w:val="clear" w:color="auto" w:fill="FFFFFF"/>
            <w:vAlign w:val="center"/>
          </w:tcPr>
          <w:p>
            <w:pPr>
              <w:pStyle w:val="59"/>
            </w:pPr>
            <w:r>
              <w:t>&gt;20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1" w:hRule="exact"/>
          <w:jc w:val="center"/>
        </w:trPr>
        <w:tc>
          <w:tcPr>
            <w:tcW w:w="2112" w:type="dxa"/>
            <w:tcBorders>
              <w:bottom w:val="single" w:color="auto" w:sz="4" w:space="0"/>
            </w:tcBorders>
            <w:shd w:val="clear" w:color="auto" w:fill="FFFFFF"/>
            <w:vAlign w:val="center"/>
          </w:tcPr>
          <w:p>
            <w:pPr>
              <w:pStyle w:val="59"/>
            </w:pPr>
            <w:r>
              <w:rPr>
                <w:rFonts w:hint="eastAsia"/>
              </w:rPr>
              <w:t>导管最小埋深（</w:t>
            </w:r>
            <w:r>
              <w:t>m)</w:t>
            </w:r>
          </w:p>
        </w:tc>
        <w:tc>
          <w:tcPr>
            <w:tcW w:w="964" w:type="dxa"/>
            <w:tcBorders>
              <w:bottom w:val="single" w:color="auto" w:sz="4" w:space="0"/>
            </w:tcBorders>
            <w:shd w:val="clear" w:color="auto" w:fill="FFFFFF"/>
            <w:vAlign w:val="center"/>
          </w:tcPr>
          <w:p>
            <w:pPr>
              <w:pStyle w:val="59"/>
            </w:pPr>
            <w:r>
              <w:t>0.6</w:t>
            </w:r>
            <w:r>
              <w:rPr>
                <w:rFonts w:hint="eastAsia" w:eastAsia="MS Mincho"/>
              </w:rPr>
              <w:t>〜</w:t>
            </w:r>
            <w:r>
              <w:t>0.8</w:t>
            </w:r>
          </w:p>
        </w:tc>
        <w:tc>
          <w:tcPr>
            <w:tcW w:w="964" w:type="dxa"/>
            <w:tcBorders>
              <w:bottom w:val="single" w:color="auto" w:sz="4" w:space="0"/>
            </w:tcBorders>
            <w:shd w:val="clear" w:color="auto" w:fill="FFFFFF"/>
            <w:vAlign w:val="center"/>
          </w:tcPr>
          <w:p>
            <w:pPr>
              <w:pStyle w:val="59"/>
            </w:pPr>
            <w:r>
              <w:t>1.1</w:t>
            </w:r>
          </w:p>
        </w:tc>
        <w:tc>
          <w:tcPr>
            <w:tcW w:w="964" w:type="dxa"/>
            <w:tcBorders>
              <w:bottom w:val="single" w:color="auto" w:sz="4" w:space="0"/>
            </w:tcBorders>
            <w:shd w:val="clear" w:color="auto" w:fill="FFFFFF"/>
            <w:vAlign w:val="center"/>
          </w:tcPr>
          <w:p>
            <w:pPr>
              <w:pStyle w:val="59"/>
            </w:pPr>
            <w:r>
              <w:t>1.3</w:t>
            </w:r>
          </w:p>
        </w:tc>
        <w:tc>
          <w:tcPr>
            <w:tcW w:w="964" w:type="dxa"/>
            <w:tcBorders>
              <w:bottom w:val="single" w:color="auto" w:sz="4" w:space="0"/>
            </w:tcBorders>
            <w:shd w:val="clear" w:color="auto" w:fill="FFFFFF"/>
            <w:vAlign w:val="center"/>
          </w:tcPr>
          <w:p>
            <w:pPr>
              <w:pStyle w:val="59"/>
            </w:pP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1" w:hRule="exact"/>
          <w:jc w:val="center"/>
        </w:trPr>
        <w:tc>
          <w:tcPr>
            <w:tcW w:w="964" w:type="dxa"/>
            <w:gridSpan w:val="5"/>
            <w:tcBorders>
              <w:top w:val="single" w:color="auto" w:sz="4" w:space="0"/>
              <w:left w:val="nil"/>
              <w:bottom w:val="single" w:color="auto" w:sz="4" w:space="0"/>
              <w:right w:val="nil"/>
            </w:tcBorders>
            <w:shd w:val="clear" w:color="auto" w:fill="FFFFFF"/>
            <w:vAlign w:val="center"/>
          </w:tcPr>
          <w:p>
            <w:pPr>
              <w:pStyle w:val="8"/>
              <w:ind w:firstLine="420"/>
              <w:rPr>
                <w:b w:val="0"/>
              </w:rPr>
            </w:pPr>
            <w:r>
              <w:rPr>
                <w:rFonts w:hint="eastAsia"/>
                <w:b w:val="0"/>
              </w:rPr>
              <w:t>表</w:t>
            </w:r>
            <w:r>
              <w:rPr>
                <w:b w:val="0"/>
              </w:rPr>
              <w:t>5.11.</w:t>
            </w:r>
            <w:r>
              <w:rPr>
                <w:rFonts w:hint="eastAsia"/>
                <w:b w:val="0"/>
              </w:rPr>
              <w:t>4</w:t>
            </w:r>
            <w:r>
              <w:rPr>
                <w:b w:val="0"/>
              </w:rPr>
              <w:t xml:space="preserve">-2 </w:t>
            </w:r>
            <w:r>
              <w:rPr>
                <w:rFonts w:hint="eastAsia"/>
                <w:b w:val="0"/>
              </w:rPr>
              <w:t>导管不同间距的最小埋深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1" w:hRule="exact"/>
          <w:jc w:val="center"/>
        </w:trPr>
        <w:tc>
          <w:tcPr>
            <w:tcW w:w="2078" w:type="dxa"/>
            <w:tcBorders>
              <w:top w:val="single" w:color="auto" w:sz="4" w:space="0"/>
            </w:tcBorders>
            <w:shd w:val="clear" w:color="auto" w:fill="FFFFFF"/>
            <w:vAlign w:val="center"/>
          </w:tcPr>
          <w:p>
            <w:pPr>
              <w:pStyle w:val="59"/>
            </w:pPr>
            <w:r>
              <w:rPr>
                <w:rFonts w:hint="eastAsia"/>
              </w:rPr>
              <w:t>导管间距</w:t>
            </w:r>
            <w:r>
              <w:t>(m)</w:t>
            </w:r>
          </w:p>
        </w:tc>
        <w:tc>
          <w:tcPr>
            <w:tcW w:w="964" w:type="dxa"/>
            <w:tcBorders>
              <w:top w:val="single" w:color="auto" w:sz="4" w:space="0"/>
            </w:tcBorders>
            <w:shd w:val="clear" w:color="auto" w:fill="FFFFFF"/>
            <w:vAlign w:val="center"/>
          </w:tcPr>
          <w:p>
            <w:pPr>
              <w:pStyle w:val="59"/>
            </w:pPr>
            <w:r>
              <w:rPr>
                <w:rFonts w:hint="eastAsia"/>
              </w:rPr>
              <w:t>≤</w:t>
            </w:r>
            <w:r>
              <w:t>5</w:t>
            </w:r>
          </w:p>
        </w:tc>
        <w:tc>
          <w:tcPr>
            <w:tcW w:w="964" w:type="dxa"/>
            <w:tcBorders>
              <w:top w:val="single" w:color="auto" w:sz="4" w:space="0"/>
            </w:tcBorders>
            <w:shd w:val="clear" w:color="auto" w:fill="FFFFFF"/>
            <w:vAlign w:val="center"/>
          </w:tcPr>
          <w:p>
            <w:pPr>
              <w:pStyle w:val="59"/>
            </w:pPr>
            <w:r>
              <w:t>6</w:t>
            </w:r>
          </w:p>
        </w:tc>
        <w:tc>
          <w:tcPr>
            <w:tcW w:w="964" w:type="dxa"/>
            <w:tcBorders>
              <w:top w:val="single" w:color="auto" w:sz="4" w:space="0"/>
            </w:tcBorders>
            <w:shd w:val="clear" w:color="auto" w:fill="FFFFFF"/>
            <w:vAlign w:val="center"/>
          </w:tcPr>
          <w:p>
            <w:pPr>
              <w:pStyle w:val="59"/>
            </w:pPr>
            <w:r>
              <w:t>7</w:t>
            </w:r>
          </w:p>
        </w:tc>
        <w:tc>
          <w:tcPr>
            <w:tcW w:w="964" w:type="dxa"/>
            <w:tcBorders>
              <w:top w:val="single" w:color="auto" w:sz="4" w:space="0"/>
            </w:tcBorders>
            <w:shd w:val="clear" w:color="auto" w:fill="FFFFFF"/>
            <w:vAlign w:val="center"/>
          </w:tcPr>
          <w:p>
            <w:pPr>
              <w:pStyle w:val="59"/>
            </w:pPr>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0" w:hRule="exact"/>
          <w:jc w:val="center"/>
        </w:trPr>
        <w:tc>
          <w:tcPr>
            <w:tcW w:w="2078" w:type="dxa"/>
            <w:shd w:val="clear" w:color="auto" w:fill="FFFFFF"/>
            <w:vAlign w:val="center"/>
          </w:tcPr>
          <w:p>
            <w:pPr>
              <w:pStyle w:val="59"/>
            </w:pPr>
            <w:r>
              <w:rPr>
                <w:rFonts w:hint="eastAsia"/>
              </w:rPr>
              <w:t>导管最小埋深（</w:t>
            </w:r>
            <w:r>
              <w:t>m</w:t>
            </w:r>
            <w:r>
              <w:rPr>
                <w:rFonts w:hint="eastAsia"/>
              </w:rPr>
              <w:t>）</w:t>
            </w:r>
          </w:p>
        </w:tc>
        <w:tc>
          <w:tcPr>
            <w:tcW w:w="964" w:type="dxa"/>
            <w:shd w:val="clear" w:color="auto" w:fill="FFFFFF"/>
            <w:vAlign w:val="center"/>
          </w:tcPr>
          <w:p>
            <w:pPr>
              <w:pStyle w:val="59"/>
            </w:pPr>
            <w:r>
              <w:t>0.6</w:t>
            </w:r>
            <w:r>
              <w:rPr>
                <w:rFonts w:hint="eastAsia" w:eastAsia="MS Mincho"/>
              </w:rPr>
              <w:t>〜</w:t>
            </w:r>
            <w:r>
              <w:t>0.9</w:t>
            </w:r>
          </w:p>
        </w:tc>
        <w:tc>
          <w:tcPr>
            <w:tcW w:w="964" w:type="dxa"/>
            <w:shd w:val="clear" w:color="auto" w:fill="FFFFFF"/>
            <w:vAlign w:val="center"/>
          </w:tcPr>
          <w:p>
            <w:pPr>
              <w:pStyle w:val="59"/>
            </w:pPr>
            <w:r>
              <w:t>0.9</w:t>
            </w:r>
            <w:r>
              <w:rPr>
                <w:rFonts w:hint="eastAsia" w:eastAsia="MS Mincho"/>
              </w:rPr>
              <w:t>〜</w:t>
            </w:r>
            <w:r>
              <w:t>1.2</w:t>
            </w:r>
          </w:p>
        </w:tc>
        <w:tc>
          <w:tcPr>
            <w:tcW w:w="964" w:type="dxa"/>
            <w:shd w:val="clear" w:color="auto" w:fill="FFFFFF"/>
            <w:vAlign w:val="center"/>
          </w:tcPr>
          <w:p>
            <w:pPr>
              <w:pStyle w:val="59"/>
            </w:pPr>
            <w:r>
              <w:t>1.2</w:t>
            </w:r>
            <w:r>
              <w:rPr>
                <w:rFonts w:hint="eastAsia" w:eastAsia="MS Mincho"/>
              </w:rPr>
              <w:t>〜</w:t>
            </w:r>
            <w:r>
              <w:t>1.4</w:t>
            </w:r>
          </w:p>
        </w:tc>
        <w:tc>
          <w:tcPr>
            <w:tcW w:w="964" w:type="dxa"/>
            <w:shd w:val="clear" w:color="auto" w:fill="FFFFFF"/>
            <w:vAlign w:val="center"/>
          </w:tcPr>
          <w:p>
            <w:pPr>
              <w:pStyle w:val="59"/>
            </w:pPr>
            <w:r>
              <w:t>1.3</w:t>
            </w:r>
            <w:r>
              <w:rPr>
                <w:rFonts w:hint="eastAsia" w:eastAsia="MS Mincho"/>
              </w:rPr>
              <w:t>〜</w:t>
            </w:r>
            <w:r>
              <w:t>1.6</w:t>
            </w:r>
          </w:p>
        </w:tc>
      </w:tr>
    </w:tbl>
    <w:p>
      <w:pPr>
        <w:ind w:firstLine="0" w:firstLineChars="0"/>
      </w:pPr>
    </w:p>
    <w:p>
      <w:pPr>
        <w:ind w:firstLine="480"/>
        <w:sectPr>
          <w:pgSz w:w="11906" w:h="16838"/>
          <w:pgMar w:top="1440" w:right="1800" w:bottom="1440" w:left="1800" w:header="851" w:footer="992" w:gutter="0"/>
          <w:cols w:space="425" w:num="1"/>
          <w:docGrid w:type="lines" w:linePitch="312" w:charSpace="0"/>
        </w:sectPr>
      </w:pPr>
    </w:p>
    <w:p>
      <w:pPr>
        <w:pStyle w:val="2"/>
      </w:pPr>
      <w:bookmarkStart w:id="371" w:name="_Toc112317337"/>
      <w:r>
        <w:rPr>
          <w:rFonts w:hint="eastAsia"/>
        </w:rPr>
        <w:t>施工监测与控制</w:t>
      </w:r>
      <w:bookmarkEnd w:id="371"/>
    </w:p>
    <w:p>
      <w:pPr>
        <w:pStyle w:val="3"/>
        <w:spacing w:before="312"/>
      </w:pPr>
      <w:bookmarkStart w:id="372" w:name="_Toc112317338"/>
      <w:r>
        <w:rPr>
          <w:rFonts w:hint="eastAsia"/>
        </w:rPr>
        <w:t>一般规定</w:t>
      </w:r>
      <w:bookmarkEnd w:id="372"/>
    </w:p>
    <w:p>
      <w:pPr>
        <w:pStyle w:val="4"/>
      </w:pPr>
      <w:bookmarkStart w:id="373" w:name="_Toc104109517"/>
      <w:bookmarkStart w:id="374" w:name="_Toc77763575"/>
      <w:r>
        <w:rPr>
          <w:rFonts w:hint="eastAsia"/>
        </w:rPr>
        <w:t>沉井施工前应结合工程特性和周围环境条件实施工程监测，包括主体结构监测、周边环境监测，且应编写监测方案。监测方案应包括以下内容：</w:t>
      </w:r>
      <w:bookmarkEnd w:id="373"/>
      <w:bookmarkEnd w:id="374"/>
    </w:p>
    <w:p>
      <w:pPr>
        <w:pStyle w:val="5"/>
        <w:ind w:firstLine="480"/>
      </w:pPr>
      <w:r>
        <w:rPr>
          <w:rFonts w:hint="eastAsia"/>
        </w:rPr>
        <w:t>工程概况；</w:t>
      </w:r>
    </w:p>
    <w:p>
      <w:pPr>
        <w:pStyle w:val="5"/>
        <w:ind w:firstLine="480"/>
      </w:pPr>
      <w:r>
        <w:rPr>
          <w:rFonts w:hint="eastAsia"/>
        </w:rPr>
        <w:t>监测依据及监测目的；</w:t>
      </w:r>
    </w:p>
    <w:p>
      <w:pPr>
        <w:pStyle w:val="5"/>
        <w:ind w:firstLine="480"/>
      </w:pPr>
      <w:r>
        <w:rPr>
          <w:rFonts w:hint="eastAsia"/>
        </w:rPr>
        <w:t>监测项目、测点布置、监测方法及精度；</w:t>
      </w:r>
    </w:p>
    <w:p>
      <w:pPr>
        <w:pStyle w:val="5"/>
        <w:ind w:firstLine="480"/>
      </w:pPr>
      <w:r>
        <w:rPr>
          <w:rFonts w:hint="eastAsia"/>
        </w:rPr>
        <w:t>监测元件和仪器的标定资料、型号、规格；</w:t>
      </w:r>
    </w:p>
    <w:p>
      <w:pPr>
        <w:pStyle w:val="5"/>
        <w:ind w:firstLine="480"/>
      </w:pPr>
      <w:r>
        <w:rPr>
          <w:rFonts w:hint="eastAsia"/>
        </w:rPr>
        <w:t>监测频率、监测数据的记录制度及处理方法；</w:t>
      </w:r>
    </w:p>
    <w:p>
      <w:pPr>
        <w:pStyle w:val="5"/>
        <w:ind w:firstLine="480"/>
      </w:pPr>
      <w:r>
        <w:rPr>
          <w:rFonts w:hint="eastAsia"/>
        </w:rPr>
        <w:t>各监测项目的报警值及异常情况下的监测措施。</w:t>
      </w:r>
    </w:p>
    <w:p>
      <w:pPr>
        <w:pStyle w:val="4"/>
      </w:pPr>
      <w:r>
        <w:rPr>
          <w:rFonts w:hint="eastAsia"/>
        </w:rPr>
        <w:t>沉井监测项目重要性等级划分宜根据施工阶段、结构特点﹑环境保护等确定，可按表6.1.2的规定进行选择，其中无填充星号为该阶段非关键监测项目，填充的黑色星号为所需监测项目，共分为三级，填充一颗星为一般重要，填充二颗星为重要，填充三颗星为非常重要。</w:t>
      </w:r>
    </w:p>
    <w:p>
      <w:pPr>
        <w:pStyle w:val="8"/>
        <w:ind w:firstLine="420"/>
        <w:rPr>
          <w:b w:val="0"/>
        </w:rPr>
      </w:pPr>
      <w:r>
        <w:rPr>
          <w:rFonts w:hint="eastAsia"/>
          <w:b w:val="0"/>
        </w:rPr>
        <w:t>表</w:t>
      </w:r>
      <w:r>
        <w:rPr>
          <w:b w:val="0"/>
        </w:rPr>
        <w:t xml:space="preserve">6.1.2 </w:t>
      </w:r>
      <w:r>
        <w:rPr>
          <w:rFonts w:hint="eastAsia"/>
          <w:b w:val="0"/>
        </w:rPr>
        <w:t>沉井监测项目</w:t>
      </w:r>
    </w:p>
    <w:tbl>
      <w:tblPr>
        <w:tblStyle w:val="82"/>
        <w:tblW w:w="7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279"/>
        <w:gridCol w:w="1366"/>
        <w:gridCol w:w="1323"/>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00" w:type="dxa"/>
            <w:vMerge w:val="restart"/>
            <w:shd w:val="clear" w:color="auto" w:fill="auto"/>
            <w:noWrap/>
            <w:vAlign w:val="center"/>
          </w:tcPr>
          <w:p>
            <w:pPr>
              <w:widowControl/>
              <w:spacing w:line="240" w:lineRule="auto"/>
              <w:ind w:firstLine="0" w:firstLineChars="0"/>
              <w:jc w:val="center"/>
              <w:rPr>
                <w:rFonts w:eastAsia="宋体" w:cs="Times New Roman"/>
                <w:b/>
                <w:color w:val="000000" w:themeColor="text1"/>
                <w:kern w:val="0"/>
                <w:sz w:val="21"/>
                <w:szCs w:val="21"/>
                <w14:textFill>
                  <w14:solidFill>
                    <w14:schemeClr w14:val="tx1"/>
                  </w14:solidFill>
                </w14:textFill>
              </w:rPr>
            </w:pPr>
            <w:r>
              <w:rPr>
                <w:rFonts w:hint="eastAsia" w:eastAsia="宋体" w:cs="Times New Roman"/>
                <w:b w:val="0"/>
                <w:color w:val="000000" w:themeColor="text1"/>
                <w:kern w:val="0"/>
                <w:sz w:val="21"/>
                <w:szCs w:val="21"/>
                <w14:textFill>
                  <w14:solidFill>
                    <w14:schemeClr w14:val="tx1"/>
                  </w14:solidFill>
                </w14:textFill>
              </w:rPr>
              <w:t>监测内容</w:t>
            </w:r>
          </w:p>
        </w:tc>
        <w:tc>
          <w:tcPr>
            <w:tcW w:w="5291" w:type="dxa"/>
            <w:gridSpan w:val="4"/>
            <w:shd w:val="clear" w:color="auto" w:fill="auto"/>
            <w:vAlign w:val="center"/>
          </w:tcPr>
          <w:p>
            <w:pPr>
              <w:widowControl/>
              <w:spacing w:line="240" w:lineRule="auto"/>
              <w:ind w:firstLine="0" w:firstLineChars="0"/>
              <w:jc w:val="center"/>
              <w:rPr>
                <w:rFonts w:eastAsia="宋体" w:cs="Times New Roman"/>
                <w:b/>
                <w:color w:val="000000" w:themeColor="text1"/>
                <w:kern w:val="0"/>
                <w:sz w:val="21"/>
                <w:szCs w:val="21"/>
                <w14:textFill>
                  <w14:solidFill>
                    <w14:schemeClr w14:val="tx1"/>
                  </w14:solidFill>
                </w14:textFill>
              </w:rPr>
            </w:pPr>
            <w:r>
              <w:rPr>
                <w:rFonts w:hint="eastAsia" w:eastAsia="宋体" w:cs="Times New Roman"/>
                <w:b w:val="0"/>
                <w:color w:val="000000" w:themeColor="text1"/>
                <w:kern w:val="0"/>
                <w:sz w:val="21"/>
                <w:szCs w:val="21"/>
                <w14:textFill>
                  <w14:solidFill>
                    <w14:schemeClr w14:val="tx1"/>
                  </w14:solidFill>
                </w14:textFill>
              </w:rPr>
              <w:t>各工况重要等级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exact"/>
          <w:jc w:val="center"/>
        </w:trPr>
        <w:tc>
          <w:tcPr>
            <w:tcW w:w="1800" w:type="dxa"/>
            <w:vMerge w:val="continue"/>
            <w:shd w:val="clear" w:color="auto" w:fill="auto"/>
            <w:vAlign w:val="center"/>
          </w:tcPr>
          <w:p>
            <w:pPr>
              <w:widowControl/>
              <w:spacing w:line="240" w:lineRule="auto"/>
              <w:ind w:firstLine="0" w:firstLineChars="0"/>
              <w:jc w:val="center"/>
              <w:rPr>
                <w:rFonts w:eastAsia="宋体" w:cs="Times New Roman"/>
                <w:b/>
                <w:color w:val="000000" w:themeColor="text1"/>
                <w:kern w:val="0"/>
                <w:sz w:val="21"/>
                <w:szCs w:val="21"/>
                <w14:textFill>
                  <w14:solidFill>
                    <w14:schemeClr w14:val="tx1"/>
                  </w14:solidFill>
                </w14:textFill>
              </w:rPr>
            </w:pPr>
          </w:p>
        </w:tc>
        <w:tc>
          <w:tcPr>
            <w:tcW w:w="1279" w:type="dxa"/>
            <w:shd w:val="clear" w:color="auto" w:fill="auto"/>
            <w:vAlign w:val="center"/>
          </w:tcPr>
          <w:p>
            <w:pPr>
              <w:widowControl/>
              <w:spacing w:line="240" w:lineRule="auto"/>
              <w:ind w:firstLine="0" w:firstLineChars="0"/>
              <w:jc w:val="center"/>
              <w:rPr>
                <w:rFonts w:eastAsia="宋体" w:cs="Times New Roman"/>
                <w:color w:val="000000" w:themeColor="text1"/>
                <w:kern w:val="0"/>
                <w:sz w:val="21"/>
                <w:szCs w:val="21"/>
                <w14:textFill>
                  <w14:solidFill>
                    <w14:schemeClr w14:val="tx1"/>
                  </w14:solidFill>
                </w14:textFill>
              </w:rPr>
            </w:pPr>
            <w:r>
              <w:rPr>
                <w:rFonts w:hint="eastAsia" w:eastAsia="宋体" w:cs="Times New Roman"/>
                <w:color w:val="000000" w:themeColor="text1"/>
                <w:kern w:val="0"/>
                <w:sz w:val="21"/>
                <w:szCs w:val="21"/>
                <w14:textFill>
                  <w14:solidFill>
                    <w14:schemeClr w14:val="tx1"/>
                  </w14:solidFill>
                </w14:textFill>
              </w:rPr>
              <w:t>定位着床</w:t>
            </w:r>
          </w:p>
          <w:p>
            <w:pPr>
              <w:widowControl/>
              <w:spacing w:line="240" w:lineRule="auto"/>
              <w:ind w:firstLine="0" w:firstLineChars="0"/>
              <w:jc w:val="center"/>
              <w:rPr>
                <w:rFonts w:eastAsia="宋体" w:cs="Times New Roman"/>
                <w:color w:val="000000" w:themeColor="text1"/>
                <w:kern w:val="0"/>
                <w:sz w:val="21"/>
                <w:szCs w:val="21"/>
                <w14:textFill>
                  <w14:solidFill>
                    <w14:schemeClr w14:val="tx1"/>
                  </w14:solidFill>
                </w14:textFill>
              </w:rPr>
            </w:pPr>
            <w:r>
              <w:rPr>
                <w:rFonts w:hint="eastAsia" w:eastAsia="宋体" w:cs="Times New Roman"/>
                <w:color w:val="000000" w:themeColor="text1"/>
                <w:kern w:val="0"/>
                <w:sz w:val="21"/>
                <w:szCs w:val="21"/>
                <w14:textFill>
                  <w14:solidFill>
                    <w14:schemeClr w14:val="tx1"/>
                  </w14:solidFill>
                </w14:textFill>
              </w:rPr>
              <w:t>（水上沉井）</w:t>
            </w:r>
          </w:p>
        </w:tc>
        <w:tc>
          <w:tcPr>
            <w:tcW w:w="1366" w:type="dxa"/>
            <w:shd w:val="clear" w:color="auto" w:fill="auto"/>
            <w:noWrap/>
            <w:vAlign w:val="center"/>
          </w:tcPr>
          <w:p>
            <w:pPr>
              <w:widowControl/>
              <w:spacing w:line="240" w:lineRule="auto"/>
              <w:ind w:firstLine="0" w:firstLineChars="0"/>
              <w:jc w:val="center"/>
              <w:rPr>
                <w:rFonts w:eastAsia="宋体" w:cs="Times New Roman"/>
                <w:color w:val="000000" w:themeColor="text1"/>
                <w:kern w:val="0"/>
                <w:sz w:val="21"/>
                <w:szCs w:val="21"/>
                <w14:textFill>
                  <w14:solidFill>
                    <w14:schemeClr w14:val="tx1"/>
                  </w14:solidFill>
                </w14:textFill>
              </w:rPr>
            </w:pPr>
            <w:r>
              <w:rPr>
                <w:rFonts w:hint="eastAsia" w:eastAsia="宋体" w:cs="Times New Roman"/>
                <w:color w:val="000000" w:themeColor="text1"/>
                <w:kern w:val="0"/>
                <w:sz w:val="21"/>
                <w:szCs w:val="21"/>
                <w14:textFill>
                  <w14:solidFill>
                    <w14:schemeClr w14:val="tx1"/>
                  </w14:solidFill>
                </w14:textFill>
              </w:rPr>
              <w:t>接高</w:t>
            </w:r>
          </w:p>
        </w:tc>
        <w:tc>
          <w:tcPr>
            <w:tcW w:w="1323" w:type="dxa"/>
            <w:shd w:val="clear" w:color="auto" w:fill="auto"/>
            <w:noWrap/>
            <w:vAlign w:val="center"/>
          </w:tcPr>
          <w:p>
            <w:pPr>
              <w:widowControl/>
              <w:spacing w:line="240" w:lineRule="auto"/>
              <w:ind w:firstLine="0" w:firstLineChars="0"/>
              <w:jc w:val="center"/>
              <w:rPr>
                <w:rFonts w:eastAsia="宋体" w:cs="Times New Roman"/>
                <w:color w:val="000000" w:themeColor="text1"/>
                <w:kern w:val="0"/>
                <w:sz w:val="21"/>
                <w:szCs w:val="21"/>
                <w14:textFill>
                  <w14:solidFill>
                    <w14:schemeClr w14:val="tx1"/>
                  </w14:solidFill>
                </w14:textFill>
              </w:rPr>
            </w:pPr>
            <w:r>
              <w:rPr>
                <w:rFonts w:hint="eastAsia" w:eastAsia="宋体" w:cs="Times New Roman"/>
                <w:color w:val="000000" w:themeColor="text1"/>
                <w:kern w:val="0"/>
                <w:sz w:val="21"/>
                <w:szCs w:val="21"/>
                <w14:textFill>
                  <w14:solidFill>
                    <w14:schemeClr w14:val="tx1"/>
                  </w14:solidFill>
                </w14:textFill>
              </w:rPr>
              <w:t>隔舱混凝土</w:t>
            </w:r>
          </w:p>
        </w:tc>
        <w:tc>
          <w:tcPr>
            <w:tcW w:w="1323" w:type="dxa"/>
            <w:shd w:val="clear" w:color="auto" w:fill="auto"/>
            <w:noWrap/>
            <w:vAlign w:val="center"/>
          </w:tcPr>
          <w:p>
            <w:pPr>
              <w:widowControl/>
              <w:spacing w:line="240" w:lineRule="auto"/>
              <w:ind w:firstLine="0" w:firstLineChars="0"/>
              <w:jc w:val="center"/>
              <w:rPr>
                <w:rFonts w:eastAsia="宋体" w:cs="Times New Roman"/>
                <w:color w:val="000000" w:themeColor="text1"/>
                <w:kern w:val="0"/>
                <w:sz w:val="21"/>
                <w:szCs w:val="21"/>
                <w14:textFill>
                  <w14:solidFill>
                    <w14:schemeClr w14:val="tx1"/>
                  </w14:solidFill>
                </w14:textFill>
              </w:rPr>
            </w:pPr>
            <w:r>
              <w:rPr>
                <w:rFonts w:hint="eastAsia" w:eastAsia="宋体" w:cs="Times New Roman"/>
                <w:color w:val="000000" w:themeColor="text1"/>
                <w:kern w:val="0"/>
                <w:sz w:val="21"/>
                <w:szCs w:val="21"/>
                <w14:textFill>
                  <w14:solidFill>
                    <w14:schemeClr w14:val="tx1"/>
                  </w14:solidFill>
                </w14:textFill>
              </w:rPr>
              <w:t>取土下沉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00" w:type="dxa"/>
            <w:shd w:val="clear" w:color="auto" w:fill="auto"/>
            <w:noWrap/>
            <w:vAlign w:val="center"/>
          </w:tcPr>
          <w:p>
            <w:pPr>
              <w:widowControl/>
              <w:spacing w:line="240" w:lineRule="auto"/>
              <w:ind w:firstLine="0" w:firstLineChars="0"/>
              <w:jc w:val="center"/>
              <w:rPr>
                <w:rFonts w:eastAsia="宋体" w:cs="Times New Roman"/>
                <w:b/>
                <w:color w:val="000000" w:themeColor="text1"/>
                <w:kern w:val="0"/>
                <w:sz w:val="21"/>
                <w:szCs w:val="21"/>
                <w14:textFill>
                  <w14:solidFill>
                    <w14:schemeClr w14:val="tx1"/>
                  </w14:solidFill>
                </w14:textFill>
              </w:rPr>
            </w:pPr>
            <w:r>
              <w:rPr>
                <w:rFonts w:hint="eastAsia" w:eastAsia="宋体" w:cs="Times New Roman"/>
                <w:b w:val="0"/>
                <w:color w:val="000000" w:themeColor="text1"/>
                <w:kern w:val="0"/>
                <w:sz w:val="21"/>
                <w:szCs w:val="21"/>
                <w14:textFill>
                  <w14:solidFill>
                    <w14:schemeClr w14:val="tx1"/>
                  </w14:solidFill>
                </w14:textFill>
              </w:rPr>
              <w:t>端部土压力</w:t>
            </w:r>
          </w:p>
        </w:tc>
        <w:tc>
          <w:tcPr>
            <w:tcW w:w="1279" w:type="dxa"/>
            <w:shd w:val="clear" w:color="auto" w:fill="auto"/>
            <w:vAlign w:val="center"/>
          </w:tcPr>
          <w:p>
            <w:pPr>
              <w:widowControl/>
              <w:spacing w:line="240" w:lineRule="auto"/>
              <w:ind w:firstLine="0" w:firstLineChars="0"/>
              <w:jc w:val="center"/>
              <w:rPr>
                <w:rFonts w:eastAsia="宋体" w:cs="Segoe UI Symbol"/>
                <w:color w:val="000000" w:themeColor="text1"/>
                <w:kern w:val="0"/>
                <w:sz w:val="21"/>
                <w:szCs w:val="21"/>
                <w14:textFill>
                  <w14:solidFill>
                    <w14:schemeClr w14:val="tx1"/>
                  </w14:solidFill>
                </w14:textFill>
              </w:rPr>
            </w:pPr>
            <w:r>
              <w:rPr>
                <w:rFonts w:hint="eastAsia" w:eastAsia="宋体" w:cs="宋体"/>
                <w:color w:val="000000" w:themeColor="text1"/>
                <w:kern w:val="0"/>
                <w:sz w:val="21"/>
                <w:szCs w:val="21"/>
                <w14:textFill>
                  <w14:solidFill>
                    <w14:schemeClr w14:val="tx1"/>
                  </w14:solidFill>
                </w14:textFill>
              </w:rPr>
              <w:t>☆</w:t>
            </w:r>
          </w:p>
        </w:tc>
        <w:tc>
          <w:tcPr>
            <w:tcW w:w="1366" w:type="dxa"/>
            <w:shd w:val="clear" w:color="auto" w:fill="auto"/>
            <w:noWrap/>
            <w:vAlign w:val="center"/>
          </w:tcPr>
          <w:p>
            <w:pPr>
              <w:widowControl/>
              <w:spacing w:line="240" w:lineRule="auto"/>
              <w:ind w:firstLine="0" w:firstLineChars="0"/>
              <w:jc w:val="center"/>
              <w:rPr>
                <w:rFonts w:eastAsia="宋体" w:cs="Times New Roman"/>
                <w:color w:val="000000" w:themeColor="text1"/>
                <w:kern w:val="0"/>
                <w:sz w:val="21"/>
                <w:szCs w:val="21"/>
                <w14:textFill>
                  <w14:solidFill>
                    <w14:schemeClr w14:val="tx1"/>
                  </w14:solidFill>
                </w14:textFill>
              </w:rPr>
            </w:pPr>
            <w:r>
              <w:rPr>
                <w:rFonts w:hint="eastAsia" w:eastAsia="宋体" w:cs="宋体"/>
                <w:color w:val="000000" w:themeColor="text1"/>
                <w:kern w:val="0"/>
                <w:sz w:val="21"/>
                <w:szCs w:val="21"/>
                <w14:textFill>
                  <w14:solidFill>
                    <w14:schemeClr w14:val="tx1"/>
                  </w14:solidFill>
                </w14:textFill>
              </w:rPr>
              <w:t>★</w:t>
            </w:r>
          </w:p>
        </w:tc>
        <w:tc>
          <w:tcPr>
            <w:tcW w:w="1323" w:type="dxa"/>
            <w:shd w:val="clear" w:color="auto" w:fill="auto"/>
            <w:noWrap/>
            <w:vAlign w:val="center"/>
          </w:tcPr>
          <w:p>
            <w:pPr>
              <w:widowControl/>
              <w:spacing w:line="240" w:lineRule="auto"/>
              <w:ind w:firstLine="0" w:firstLineChars="0"/>
              <w:jc w:val="center"/>
              <w:rPr>
                <w:rFonts w:eastAsia="宋体" w:cs="Times New Roman"/>
                <w:color w:val="000000" w:themeColor="text1"/>
                <w:kern w:val="0"/>
                <w:sz w:val="21"/>
                <w:szCs w:val="21"/>
                <w14:textFill>
                  <w14:solidFill>
                    <w14:schemeClr w14:val="tx1"/>
                  </w14:solidFill>
                </w14:textFill>
              </w:rPr>
            </w:pPr>
            <w:r>
              <w:rPr>
                <w:rFonts w:hint="eastAsia" w:eastAsia="宋体" w:cs="宋体"/>
                <w:color w:val="000000" w:themeColor="text1"/>
                <w:kern w:val="0"/>
                <w:sz w:val="21"/>
                <w:szCs w:val="21"/>
                <w14:textFill>
                  <w14:solidFill>
                    <w14:schemeClr w14:val="tx1"/>
                  </w14:solidFill>
                </w14:textFill>
              </w:rPr>
              <w:t>★★</w:t>
            </w:r>
          </w:p>
        </w:tc>
        <w:tc>
          <w:tcPr>
            <w:tcW w:w="1323" w:type="dxa"/>
            <w:shd w:val="clear" w:color="auto" w:fill="auto"/>
            <w:noWrap/>
            <w:vAlign w:val="center"/>
          </w:tcPr>
          <w:p>
            <w:pPr>
              <w:widowControl/>
              <w:spacing w:line="240" w:lineRule="auto"/>
              <w:ind w:firstLine="0" w:firstLineChars="0"/>
              <w:jc w:val="center"/>
              <w:rPr>
                <w:rFonts w:eastAsia="宋体" w:cs="Times New Roman"/>
                <w:color w:val="000000" w:themeColor="text1"/>
                <w:kern w:val="0"/>
                <w:sz w:val="21"/>
                <w:szCs w:val="21"/>
                <w14:textFill>
                  <w14:solidFill>
                    <w14:schemeClr w14:val="tx1"/>
                  </w14:solidFill>
                </w14:textFill>
              </w:rPr>
            </w:pPr>
            <w:r>
              <w:rPr>
                <w:rFonts w:hint="eastAsia" w:eastAsia="宋体" w:cs="宋体"/>
                <w:color w:val="000000" w:themeColor="text1"/>
                <w:kern w:val="0"/>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00" w:type="dxa"/>
            <w:shd w:val="clear" w:color="auto" w:fill="auto"/>
            <w:noWrap/>
            <w:vAlign w:val="center"/>
          </w:tcPr>
          <w:p>
            <w:pPr>
              <w:widowControl/>
              <w:spacing w:line="240" w:lineRule="auto"/>
              <w:ind w:firstLine="0" w:firstLineChars="0"/>
              <w:jc w:val="center"/>
              <w:rPr>
                <w:rFonts w:eastAsia="宋体" w:cs="Times New Roman"/>
                <w:b/>
                <w:color w:val="000000" w:themeColor="text1"/>
                <w:kern w:val="0"/>
                <w:sz w:val="21"/>
                <w:szCs w:val="21"/>
                <w14:textFill>
                  <w14:solidFill>
                    <w14:schemeClr w14:val="tx1"/>
                  </w14:solidFill>
                </w14:textFill>
              </w:rPr>
            </w:pPr>
            <w:r>
              <w:rPr>
                <w:rFonts w:hint="eastAsia" w:eastAsia="宋体" w:cs="Times New Roman"/>
                <w:b w:val="0"/>
                <w:color w:val="000000" w:themeColor="text1"/>
                <w:kern w:val="0"/>
                <w:sz w:val="21"/>
                <w:szCs w:val="21"/>
                <w14:textFill>
                  <w14:solidFill>
                    <w14:schemeClr w14:val="tx1"/>
                  </w14:solidFill>
                </w14:textFill>
              </w:rPr>
              <w:t>侧壁土压力</w:t>
            </w:r>
          </w:p>
        </w:tc>
        <w:tc>
          <w:tcPr>
            <w:tcW w:w="1279" w:type="dxa"/>
            <w:shd w:val="clear" w:color="auto" w:fill="auto"/>
            <w:vAlign w:val="center"/>
          </w:tcPr>
          <w:p>
            <w:pPr>
              <w:widowControl/>
              <w:spacing w:line="240" w:lineRule="auto"/>
              <w:ind w:firstLine="0" w:firstLineChars="0"/>
              <w:jc w:val="center"/>
              <w:rPr>
                <w:rFonts w:eastAsia="宋体" w:cs="Segoe UI Symbol"/>
                <w:color w:val="000000" w:themeColor="text1"/>
                <w:kern w:val="0"/>
                <w:sz w:val="21"/>
                <w:szCs w:val="21"/>
                <w14:textFill>
                  <w14:solidFill>
                    <w14:schemeClr w14:val="tx1"/>
                  </w14:solidFill>
                </w14:textFill>
              </w:rPr>
            </w:pPr>
            <w:r>
              <w:rPr>
                <w:rFonts w:hint="eastAsia" w:eastAsia="宋体" w:cs="宋体"/>
                <w:color w:val="000000" w:themeColor="text1"/>
                <w:kern w:val="0"/>
                <w:sz w:val="21"/>
                <w:szCs w:val="21"/>
                <w14:textFill>
                  <w14:solidFill>
                    <w14:schemeClr w14:val="tx1"/>
                  </w14:solidFill>
                </w14:textFill>
              </w:rPr>
              <w:t>☆</w:t>
            </w:r>
          </w:p>
        </w:tc>
        <w:tc>
          <w:tcPr>
            <w:tcW w:w="1366" w:type="dxa"/>
            <w:shd w:val="clear" w:color="auto" w:fill="auto"/>
            <w:noWrap/>
            <w:vAlign w:val="center"/>
          </w:tcPr>
          <w:p>
            <w:pPr>
              <w:widowControl/>
              <w:spacing w:line="240" w:lineRule="auto"/>
              <w:ind w:firstLine="0" w:firstLineChars="0"/>
              <w:jc w:val="center"/>
              <w:rPr>
                <w:rFonts w:eastAsia="宋体" w:cs="Times New Roman"/>
                <w:color w:val="000000" w:themeColor="text1"/>
                <w:kern w:val="0"/>
                <w:sz w:val="21"/>
                <w:szCs w:val="21"/>
                <w14:textFill>
                  <w14:solidFill>
                    <w14:schemeClr w14:val="tx1"/>
                  </w14:solidFill>
                </w14:textFill>
              </w:rPr>
            </w:pPr>
            <w:r>
              <w:rPr>
                <w:rFonts w:hint="eastAsia" w:eastAsia="宋体" w:cs="宋体"/>
                <w:color w:val="000000" w:themeColor="text1"/>
                <w:kern w:val="0"/>
                <w:sz w:val="21"/>
                <w:szCs w:val="21"/>
                <w14:textFill>
                  <w14:solidFill>
                    <w14:schemeClr w14:val="tx1"/>
                  </w14:solidFill>
                </w14:textFill>
              </w:rPr>
              <w:t>☆</w:t>
            </w:r>
          </w:p>
        </w:tc>
        <w:tc>
          <w:tcPr>
            <w:tcW w:w="1323" w:type="dxa"/>
            <w:shd w:val="clear" w:color="auto" w:fill="auto"/>
            <w:noWrap/>
            <w:vAlign w:val="center"/>
          </w:tcPr>
          <w:p>
            <w:pPr>
              <w:widowControl/>
              <w:spacing w:line="240" w:lineRule="auto"/>
              <w:ind w:firstLine="0" w:firstLineChars="0"/>
              <w:jc w:val="center"/>
              <w:rPr>
                <w:rFonts w:eastAsia="宋体" w:cs="Times New Roman"/>
                <w:color w:val="000000" w:themeColor="text1"/>
                <w:kern w:val="0"/>
                <w:sz w:val="21"/>
                <w:szCs w:val="21"/>
                <w14:textFill>
                  <w14:solidFill>
                    <w14:schemeClr w14:val="tx1"/>
                  </w14:solidFill>
                </w14:textFill>
              </w:rPr>
            </w:pPr>
            <w:r>
              <w:rPr>
                <w:rFonts w:hint="eastAsia" w:eastAsia="宋体" w:cs="宋体"/>
                <w:color w:val="000000" w:themeColor="text1"/>
                <w:kern w:val="0"/>
                <w:sz w:val="21"/>
                <w:szCs w:val="21"/>
                <w14:textFill>
                  <w14:solidFill>
                    <w14:schemeClr w14:val="tx1"/>
                  </w14:solidFill>
                </w14:textFill>
              </w:rPr>
              <w:t>★</w:t>
            </w:r>
          </w:p>
        </w:tc>
        <w:tc>
          <w:tcPr>
            <w:tcW w:w="1323" w:type="dxa"/>
            <w:shd w:val="clear" w:color="auto" w:fill="auto"/>
            <w:noWrap/>
            <w:vAlign w:val="center"/>
          </w:tcPr>
          <w:p>
            <w:pPr>
              <w:widowControl/>
              <w:spacing w:line="240" w:lineRule="auto"/>
              <w:ind w:firstLine="0" w:firstLineChars="0"/>
              <w:jc w:val="center"/>
              <w:rPr>
                <w:rFonts w:eastAsia="宋体" w:cs="Times New Roman"/>
                <w:color w:val="000000" w:themeColor="text1"/>
                <w:kern w:val="0"/>
                <w:sz w:val="21"/>
                <w:szCs w:val="21"/>
                <w14:textFill>
                  <w14:solidFill>
                    <w14:schemeClr w14:val="tx1"/>
                  </w14:solidFill>
                </w14:textFill>
              </w:rPr>
            </w:pPr>
            <w:r>
              <w:rPr>
                <w:rFonts w:hint="eastAsia" w:eastAsia="宋体" w:cs="宋体"/>
                <w:color w:val="000000" w:themeColor="text1"/>
                <w:kern w:val="0"/>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00" w:type="dxa"/>
            <w:shd w:val="clear" w:color="auto" w:fill="auto"/>
            <w:vAlign w:val="center"/>
          </w:tcPr>
          <w:p>
            <w:pPr>
              <w:widowControl/>
              <w:spacing w:line="240" w:lineRule="auto"/>
              <w:ind w:firstLine="0" w:firstLineChars="0"/>
              <w:jc w:val="center"/>
              <w:rPr>
                <w:rFonts w:eastAsia="宋体" w:cs="Times New Roman"/>
                <w:b/>
                <w:color w:val="000000" w:themeColor="text1"/>
                <w:kern w:val="0"/>
                <w:sz w:val="21"/>
                <w:szCs w:val="21"/>
                <w14:textFill>
                  <w14:solidFill>
                    <w14:schemeClr w14:val="tx1"/>
                  </w14:solidFill>
                </w14:textFill>
              </w:rPr>
            </w:pPr>
            <w:r>
              <w:rPr>
                <w:rFonts w:hint="eastAsia" w:eastAsia="宋体" w:cs="Times New Roman"/>
                <w:b w:val="0"/>
                <w:color w:val="000000" w:themeColor="text1"/>
                <w:kern w:val="0"/>
                <w:sz w:val="21"/>
                <w:szCs w:val="21"/>
                <w14:textFill>
                  <w14:solidFill>
                    <w14:schemeClr w14:val="tx1"/>
                  </w14:solidFill>
                </w14:textFill>
              </w:rPr>
              <w:t>钢结构应力</w:t>
            </w:r>
          </w:p>
        </w:tc>
        <w:tc>
          <w:tcPr>
            <w:tcW w:w="1279" w:type="dxa"/>
            <w:shd w:val="clear" w:color="auto" w:fill="auto"/>
            <w:vAlign w:val="center"/>
          </w:tcPr>
          <w:p>
            <w:pPr>
              <w:widowControl/>
              <w:spacing w:line="240" w:lineRule="auto"/>
              <w:ind w:firstLine="0" w:firstLineChars="0"/>
              <w:jc w:val="center"/>
              <w:rPr>
                <w:rFonts w:eastAsia="宋体" w:cs="Segoe UI Symbol"/>
                <w:color w:val="000000" w:themeColor="text1"/>
                <w:kern w:val="0"/>
                <w:sz w:val="21"/>
                <w:szCs w:val="21"/>
                <w14:textFill>
                  <w14:solidFill>
                    <w14:schemeClr w14:val="tx1"/>
                  </w14:solidFill>
                </w14:textFill>
              </w:rPr>
            </w:pPr>
            <w:r>
              <w:rPr>
                <w:rFonts w:hint="eastAsia" w:eastAsia="宋体" w:cs="宋体"/>
                <w:color w:val="000000" w:themeColor="text1"/>
                <w:kern w:val="0"/>
                <w:sz w:val="21"/>
                <w:szCs w:val="21"/>
                <w14:textFill>
                  <w14:solidFill>
                    <w14:schemeClr w14:val="tx1"/>
                  </w14:solidFill>
                </w14:textFill>
              </w:rPr>
              <w:t>☆</w:t>
            </w:r>
          </w:p>
        </w:tc>
        <w:tc>
          <w:tcPr>
            <w:tcW w:w="1366" w:type="dxa"/>
            <w:shd w:val="clear" w:color="auto" w:fill="auto"/>
            <w:noWrap/>
            <w:vAlign w:val="center"/>
          </w:tcPr>
          <w:p>
            <w:pPr>
              <w:widowControl/>
              <w:spacing w:line="240" w:lineRule="auto"/>
              <w:ind w:firstLine="0" w:firstLineChars="0"/>
              <w:jc w:val="center"/>
              <w:rPr>
                <w:rFonts w:eastAsia="宋体" w:cs="Times New Roman"/>
                <w:color w:val="000000" w:themeColor="text1"/>
                <w:kern w:val="0"/>
                <w:sz w:val="21"/>
                <w:szCs w:val="21"/>
                <w14:textFill>
                  <w14:solidFill>
                    <w14:schemeClr w14:val="tx1"/>
                  </w14:solidFill>
                </w14:textFill>
              </w:rPr>
            </w:pPr>
            <w:r>
              <w:rPr>
                <w:rFonts w:hint="eastAsia" w:eastAsia="宋体" w:cs="宋体"/>
                <w:color w:val="000000" w:themeColor="text1"/>
                <w:kern w:val="0"/>
                <w:sz w:val="21"/>
                <w:szCs w:val="21"/>
                <w14:textFill>
                  <w14:solidFill>
                    <w14:schemeClr w14:val="tx1"/>
                  </w14:solidFill>
                </w14:textFill>
              </w:rPr>
              <w:t>★</w:t>
            </w:r>
          </w:p>
        </w:tc>
        <w:tc>
          <w:tcPr>
            <w:tcW w:w="1323" w:type="dxa"/>
            <w:shd w:val="clear" w:color="auto" w:fill="auto"/>
            <w:noWrap/>
            <w:vAlign w:val="center"/>
          </w:tcPr>
          <w:p>
            <w:pPr>
              <w:widowControl/>
              <w:spacing w:line="240" w:lineRule="auto"/>
              <w:ind w:firstLine="0" w:firstLineChars="0"/>
              <w:jc w:val="center"/>
              <w:rPr>
                <w:rFonts w:eastAsia="宋体" w:cs="Times New Roman"/>
                <w:color w:val="000000" w:themeColor="text1"/>
                <w:kern w:val="0"/>
                <w:sz w:val="21"/>
                <w:szCs w:val="21"/>
                <w14:textFill>
                  <w14:solidFill>
                    <w14:schemeClr w14:val="tx1"/>
                  </w14:solidFill>
                </w14:textFill>
              </w:rPr>
            </w:pPr>
            <w:r>
              <w:rPr>
                <w:rFonts w:hint="eastAsia" w:eastAsia="宋体" w:cs="宋体"/>
                <w:color w:val="000000" w:themeColor="text1"/>
                <w:kern w:val="0"/>
                <w:sz w:val="21"/>
                <w:szCs w:val="21"/>
                <w14:textFill>
                  <w14:solidFill>
                    <w14:schemeClr w14:val="tx1"/>
                  </w14:solidFill>
                </w14:textFill>
              </w:rPr>
              <w:t>★</w:t>
            </w:r>
          </w:p>
        </w:tc>
        <w:tc>
          <w:tcPr>
            <w:tcW w:w="1323" w:type="dxa"/>
            <w:shd w:val="clear" w:color="auto" w:fill="auto"/>
            <w:noWrap/>
            <w:vAlign w:val="center"/>
          </w:tcPr>
          <w:p>
            <w:pPr>
              <w:widowControl/>
              <w:spacing w:line="240" w:lineRule="auto"/>
              <w:ind w:firstLine="0" w:firstLineChars="0"/>
              <w:jc w:val="center"/>
              <w:rPr>
                <w:rFonts w:eastAsia="宋体" w:cs="Times New Roman"/>
                <w:color w:val="000000" w:themeColor="text1"/>
                <w:kern w:val="0"/>
                <w:sz w:val="21"/>
                <w:szCs w:val="21"/>
                <w14:textFill>
                  <w14:solidFill>
                    <w14:schemeClr w14:val="tx1"/>
                  </w14:solidFill>
                </w14:textFill>
              </w:rPr>
            </w:pPr>
            <w:r>
              <w:rPr>
                <w:rFonts w:hint="eastAsia" w:eastAsia="宋体" w:cs="宋体"/>
                <w:color w:val="000000" w:themeColor="text1"/>
                <w:kern w:val="0"/>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00" w:type="dxa"/>
            <w:shd w:val="clear" w:color="auto" w:fill="auto"/>
            <w:vAlign w:val="center"/>
          </w:tcPr>
          <w:p>
            <w:pPr>
              <w:widowControl/>
              <w:spacing w:line="240" w:lineRule="auto"/>
              <w:ind w:firstLine="0" w:firstLineChars="0"/>
              <w:jc w:val="center"/>
              <w:rPr>
                <w:rFonts w:eastAsia="宋体" w:cs="Times New Roman"/>
                <w:b/>
                <w:color w:val="000000" w:themeColor="text1"/>
                <w:kern w:val="0"/>
                <w:sz w:val="21"/>
                <w:szCs w:val="21"/>
                <w14:textFill>
                  <w14:solidFill>
                    <w14:schemeClr w14:val="tx1"/>
                  </w14:solidFill>
                </w14:textFill>
              </w:rPr>
            </w:pPr>
            <w:r>
              <w:rPr>
                <w:rFonts w:hint="eastAsia" w:eastAsia="宋体" w:cs="Times New Roman"/>
                <w:b w:val="0"/>
                <w:color w:val="000000" w:themeColor="text1"/>
                <w:kern w:val="0"/>
                <w:sz w:val="21"/>
                <w:szCs w:val="21"/>
                <w14:textFill>
                  <w14:solidFill>
                    <w14:schemeClr w14:val="tx1"/>
                  </w14:solidFill>
                </w14:textFill>
              </w:rPr>
              <w:t>沉井倾斜</w:t>
            </w:r>
          </w:p>
        </w:tc>
        <w:tc>
          <w:tcPr>
            <w:tcW w:w="1279" w:type="dxa"/>
            <w:shd w:val="clear" w:color="auto" w:fill="auto"/>
            <w:vAlign w:val="center"/>
          </w:tcPr>
          <w:p>
            <w:pPr>
              <w:widowControl/>
              <w:spacing w:line="240" w:lineRule="auto"/>
              <w:ind w:firstLine="0" w:firstLineChars="0"/>
              <w:jc w:val="center"/>
              <w:rPr>
                <w:rFonts w:eastAsia="宋体" w:cs="Segoe UI Symbol"/>
                <w:color w:val="000000" w:themeColor="text1"/>
                <w:kern w:val="0"/>
                <w:sz w:val="21"/>
                <w:szCs w:val="21"/>
                <w14:textFill>
                  <w14:solidFill>
                    <w14:schemeClr w14:val="tx1"/>
                  </w14:solidFill>
                </w14:textFill>
              </w:rPr>
            </w:pPr>
            <w:r>
              <w:rPr>
                <w:rFonts w:hint="eastAsia" w:eastAsia="宋体" w:cs="宋体"/>
                <w:color w:val="000000" w:themeColor="text1"/>
                <w:kern w:val="0"/>
                <w:sz w:val="21"/>
                <w:szCs w:val="21"/>
                <w14:textFill>
                  <w14:solidFill>
                    <w14:schemeClr w14:val="tx1"/>
                  </w14:solidFill>
                </w14:textFill>
              </w:rPr>
              <w:t>★★★</w:t>
            </w:r>
          </w:p>
        </w:tc>
        <w:tc>
          <w:tcPr>
            <w:tcW w:w="1366" w:type="dxa"/>
            <w:shd w:val="clear" w:color="auto" w:fill="auto"/>
            <w:noWrap/>
            <w:vAlign w:val="center"/>
          </w:tcPr>
          <w:p>
            <w:pPr>
              <w:widowControl/>
              <w:spacing w:line="240" w:lineRule="auto"/>
              <w:ind w:firstLine="0" w:firstLineChars="0"/>
              <w:jc w:val="center"/>
              <w:rPr>
                <w:rFonts w:eastAsia="宋体" w:cs="Times New Roman"/>
                <w:color w:val="000000" w:themeColor="text1"/>
                <w:kern w:val="0"/>
                <w:sz w:val="21"/>
                <w:szCs w:val="21"/>
                <w14:textFill>
                  <w14:solidFill>
                    <w14:schemeClr w14:val="tx1"/>
                  </w14:solidFill>
                </w14:textFill>
              </w:rPr>
            </w:pPr>
            <w:r>
              <w:rPr>
                <w:rFonts w:hint="eastAsia" w:eastAsia="宋体" w:cs="宋体"/>
                <w:color w:val="000000" w:themeColor="text1"/>
                <w:kern w:val="0"/>
                <w:sz w:val="21"/>
                <w:szCs w:val="21"/>
                <w14:textFill>
                  <w14:solidFill>
                    <w14:schemeClr w14:val="tx1"/>
                  </w14:solidFill>
                </w14:textFill>
              </w:rPr>
              <w:t>★★★</w:t>
            </w:r>
          </w:p>
        </w:tc>
        <w:tc>
          <w:tcPr>
            <w:tcW w:w="1323" w:type="dxa"/>
            <w:shd w:val="clear" w:color="auto" w:fill="auto"/>
            <w:noWrap/>
            <w:vAlign w:val="center"/>
          </w:tcPr>
          <w:p>
            <w:pPr>
              <w:widowControl/>
              <w:spacing w:line="240" w:lineRule="auto"/>
              <w:ind w:firstLine="0" w:firstLineChars="0"/>
              <w:jc w:val="center"/>
              <w:rPr>
                <w:rFonts w:eastAsia="宋体" w:cs="Times New Roman"/>
                <w:color w:val="000000" w:themeColor="text1"/>
                <w:kern w:val="0"/>
                <w:sz w:val="21"/>
                <w:szCs w:val="21"/>
                <w14:textFill>
                  <w14:solidFill>
                    <w14:schemeClr w14:val="tx1"/>
                  </w14:solidFill>
                </w14:textFill>
              </w:rPr>
            </w:pPr>
            <w:r>
              <w:rPr>
                <w:rFonts w:hint="eastAsia" w:eastAsia="宋体" w:cs="宋体"/>
                <w:color w:val="000000" w:themeColor="text1"/>
                <w:kern w:val="0"/>
                <w:sz w:val="21"/>
                <w:szCs w:val="21"/>
                <w14:textFill>
                  <w14:solidFill>
                    <w14:schemeClr w14:val="tx1"/>
                  </w14:solidFill>
                </w14:textFill>
              </w:rPr>
              <w:t>★★★</w:t>
            </w:r>
          </w:p>
        </w:tc>
        <w:tc>
          <w:tcPr>
            <w:tcW w:w="1323" w:type="dxa"/>
            <w:shd w:val="clear" w:color="auto" w:fill="auto"/>
            <w:noWrap/>
            <w:vAlign w:val="center"/>
          </w:tcPr>
          <w:p>
            <w:pPr>
              <w:widowControl/>
              <w:spacing w:line="240" w:lineRule="auto"/>
              <w:ind w:firstLine="0" w:firstLineChars="0"/>
              <w:jc w:val="center"/>
              <w:rPr>
                <w:rFonts w:eastAsia="宋体" w:cs="Times New Roman"/>
                <w:color w:val="000000" w:themeColor="text1"/>
                <w:kern w:val="0"/>
                <w:sz w:val="21"/>
                <w:szCs w:val="21"/>
                <w14:textFill>
                  <w14:solidFill>
                    <w14:schemeClr w14:val="tx1"/>
                  </w14:solidFill>
                </w14:textFill>
              </w:rPr>
            </w:pPr>
            <w:r>
              <w:rPr>
                <w:rFonts w:hint="eastAsia" w:eastAsia="宋体" w:cs="宋体"/>
                <w:color w:val="000000" w:themeColor="text1"/>
                <w:kern w:val="0"/>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00" w:type="dxa"/>
            <w:shd w:val="clear" w:color="auto" w:fill="auto"/>
            <w:vAlign w:val="center"/>
          </w:tcPr>
          <w:p>
            <w:pPr>
              <w:widowControl/>
              <w:spacing w:line="240" w:lineRule="auto"/>
              <w:ind w:firstLine="0" w:firstLineChars="0"/>
              <w:jc w:val="center"/>
              <w:rPr>
                <w:rFonts w:eastAsia="宋体" w:cs="Times New Roman"/>
                <w:b/>
                <w:color w:val="000000" w:themeColor="text1"/>
                <w:kern w:val="0"/>
                <w:sz w:val="21"/>
                <w:szCs w:val="21"/>
                <w14:textFill>
                  <w14:solidFill>
                    <w14:schemeClr w14:val="tx1"/>
                  </w14:solidFill>
                </w14:textFill>
              </w:rPr>
            </w:pPr>
            <w:r>
              <w:rPr>
                <w:rFonts w:hint="eastAsia" w:eastAsia="宋体" w:cs="Times New Roman"/>
                <w:b w:val="0"/>
                <w:color w:val="000000" w:themeColor="text1"/>
                <w:kern w:val="0"/>
                <w:sz w:val="21"/>
                <w:szCs w:val="21"/>
                <w14:textFill>
                  <w14:solidFill>
                    <w14:schemeClr w14:val="tx1"/>
                  </w14:solidFill>
                </w14:textFill>
              </w:rPr>
              <w:t>沉井扭转</w:t>
            </w:r>
          </w:p>
        </w:tc>
        <w:tc>
          <w:tcPr>
            <w:tcW w:w="1279" w:type="dxa"/>
            <w:shd w:val="clear" w:color="auto" w:fill="auto"/>
            <w:vAlign w:val="center"/>
          </w:tcPr>
          <w:p>
            <w:pPr>
              <w:widowControl/>
              <w:spacing w:line="240" w:lineRule="auto"/>
              <w:ind w:firstLine="0" w:firstLineChars="0"/>
              <w:jc w:val="center"/>
              <w:rPr>
                <w:rFonts w:eastAsia="宋体" w:cs="Segoe UI Symbol"/>
                <w:color w:val="000000" w:themeColor="text1"/>
                <w:kern w:val="0"/>
                <w:sz w:val="21"/>
                <w:szCs w:val="21"/>
                <w14:textFill>
                  <w14:solidFill>
                    <w14:schemeClr w14:val="tx1"/>
                  </w14:solidFill>
                </w14:textFill>
              </w:rPr>
            </w:pPr>
            <w:r>
              <w:rPr>
                <w:rFonts w:hint="eastAsia" w:eastAsia="宋体" w:cs="宋体"/>
                <w:color w:val="000000" w:themeColor="text1"/>
                <w:kern w:val="0"/>
                <w:sz w:val="21"/>
                <w:szCs w:val="21"/>
                <w14:textFill>
                  <w14:solidFill>
                    <w14:schemeClr w14:val="tx1"/>
                  </w14:solidFill>
                </w14:textFill>
              </w:rPr>
              <w:t>★★★</w:t>
            </w:r>
          </w:p>
        </w:tc>
        <w:tc>
          <w:tcPr>
            <w:tcW w:w="1366" w:type="dxa"/>
            <w:shd w:val="clear" w:color="auto" w:fill="auto"/>
            <w:noWrap/>
            <w:vAlign w:val="center"/>
          </w:tcPr>
          <w:p>
            <w:pPr>
              <w:widowControl/>
              <w:spacing w:line="240" w:lineRule="auto"/>
              <w:ind w:firstLine="0" w:firstLineChars="0"/>
              <w:jc w:val="center"/>
              <w:rPr>
                <w:rFonts w:eastAsia="宋体" w:cs="Times New Roman"/>
                <w:color w:val="000000" w:themeColor="text1"/>
                <w:kern w:val="0"/>
                <w:sz w:val="21"/>
                <w:szCs w:val="21"/>
                <w14:textFill>
                  <w14:solidFill>
                    <w14:schemeClr w14:val="tx1"/>
                  </w14:solidFill>
                </w14:textFill>
              </w:rPr>
            </w:pPr>
            <w:r>
              <w:rPr>
                <w:rFonts w:hint="eastAsia" w:eastAsia="宋体" w:cs="宋体"/>
                <w:color w:val="000000" w:themeColor="text1"/>
                <w:kern w:val="0"/>
                <w:sz w:val="21"/>
                <w:szCs w:val="21"/>
                <w14:textFill>
                  <w14:solidFill>
                    <w14:schemeClr w14:val="tx1"/>
                  </w14:solidFill>
                </w14:textFill>
              </w:rPr>
              <w:t>★★</w:t>
            </w:r>
          </w:p>
        </w:tc>
        <w:tc>
          <w:tcPr>
            <w:tcW w:w="1323" w:type="dxa"/>
            <w:shd w:val="clear" w:color="auto" w:fill="auto"/>
            <w:noWrap/>
            <w:vAlign w:val="center"/>
          </w:tcPr>
          <w:p>
            <w:pPr>
              <w:widowControl/>
              <w:spacing w:line="240" w:lineRule="auto"/>
              <w:ind w:firstLine="0" w:firstLineChars="0"/>
              <w:jc w:val="center"/>
              <w:rPr>
                <w:rFonts w:eastAsia="宋体" w:cs="Times New Roman"/>
                <w:color w:val="000000" w:themeColor="text1"/>
                <w:kern w:val="0"/>
                <w:sz w:val="21"/>
                <w:szCs w:val="21"/>
                <w14:textFill>
                  <w14:solidFill>
                    <w14:schemeClr w14:val="tx1"/>
                  </w14:solidFill>
                </w14:textFill>
              </w:rPr>
            </w:pPr>
            <w:r>
              <w:rPr>
                <w:rFonts w:hint="eastAsia" w:eastAsia="宋体" w:cs="宋体"/>
                <w:color w:val="000000" w:themeColor="text1"/>
                <w:kern w:val="0"/>
                <w:sz w:val="21"/>
                <w:szCs w:val="21"/>
                <w14:textFill>
                  <w14:solidFill>
                    <w14:schemeClr w14:val="tx1"/>
                  </w14:solidFill>
                </w14:textFill>
              </w:rPr>
              <w:t>★★</w:t>
            </w:r>
          </w:p>
        </w:tc>
        <w:tc>
          <w:tcPr>
            <w:tcW w:w="1323" w:type="dxa"/>
            <w:shd w:val="clear" w:color="auto" w:fill="auto"/>
            <w:noWrap/>
            <w:vAlign w:val="center"/>
          </w:tcPr>
          <w:p>
            <w:pPr>
              <w:widowControl/>
              <w:spacing w:line="240" w:lineRule="auto"/>
              <w:ind w:firstLine="0" w:firstLineChars="0"/>
              <w:jc w:val="center"/>
              <w:rPr>
                <w:rFonts w:eastAsia="宋体" w:cs="Times New Roman"/>
                <w:color w:val="000000" w:themeColor="text1"/>
                <w:kern w:val="0"/>
                <w:sz w:val="21"/>
                <w:szCs w:val="21"/>
                <w14:textFill>
                  <w14:solidFill>
                    <w14:schemeClr w14:val="tx1"/>
                  </w14:solidFill>
                </w14:textFill>
              </w:rPr>
            </w:pPr>
            <w:r>
              <w:rPr>
                <w:rFonts w:hint="eastAsia" w:eastAsia="宋体" w:cs="宋体"/>
                <w:color w:val="000000" w:themeColor="text1"/>
                <w:kern w:val="0"/>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00" w:type="dxa"/>
            <w:shd w:val="clear" w:color="auto" w:fill="auto"/>
            <w:vAlign w:val="center"/>
          </w:tcPr>
          <w:p>
            <w:pPr>
              <w:widowControl/>
              <w:spacing w:line="240" w:lineRule="auto"/>
              <w:ind w:firstLine="0" w:firstLineChars="0"/>
              <w:jc w:val="center"/>
              <w:rPr>
                <w:rFonts w:eastAsia="宋体" w:cs="Times New Roman"/>
                <w:b/>
                <w:color w:val="000000" w:themeColor="text1"/>
                <w:kern w:val="0"/>
                <w:sz w:val="21"/>
                <w:szCs w:val="21"/>
                <w14:textFill>
                  <w14:solidFill>
                    <w14:schemeClr w14:val="tx1"/>
                  </w14:solidFill>
                </w14:textFill>
              </w:rPr>
            </w:pPr>
            <w:r>
              <w:rPr>
                <w:rFonts w:hint="eastAsia" w:eastAsia="宋体" w:cs="Times New Roman"/>
                <w:b w:val="0"/>
                <w:color w:val="000000" w:themeColor="text1"/>
                <w:kern w:val="0"/>
                <w:sz w:val="21"/>
                <w:szCs w:val="21"/>
                <w14:textFill>
                  <w14:solidFill>
                    <w14:schemeClr w14:val="tx1"/>
                  </w14:solidFill>
                </w14:textFill>
              </w:rPr>
              <w:t>沉井偏位</w:t>
            </w:r>
          </w:p>
        </w:tc>
        <w:tc>
          <w:tcPr>
            <w:tcW w:w="1279" w:type="dxa"/>
            <w:shd w:val="clear" w:color="auto" w:fill="auto"/>
            <w:vAlign w:val="center"/>
          </w:tcPr>
          <w:p>
            <w:pPr>
              <w:widowControl/>
              <w:spacing w:line="240" w:lineRule="auto"/>
              <w:ind w:firstLine="0" w:firstLineChars="0"/>
              <w:jc w:val="center"/>
              <w:rPr>
                <w:rFonts w:eastAsia="宋体" w:cs="Segoe UI Symbol"/>
                <w:color w:val="000000" w:themeColor="text1"/>
                <w:kern w:val="0"/>
                <w:sz w:val="21"/>
                <w:szCs w:val="21"/>
                <w14:textFill>
                  <w14:solidFill>
                    <w14:schemeClr w14:val="tx1"/>
                  </w14:solidFill>
                </w14:textFill>
              </w:rPr>
            </w:pPr>
            <w:r>
              <w:rPr>
                <w:rFonts w:hint="eastAsia" w:eastAsia="宋体" w:cs="宋体"/>
                <w:color w:val="000000" w:themeColor="text1"/>
                <w:kern w:val="0"/>
                <w:sz w:val="21"/>
                <w:szCs w:val="21"/>
                <w14:textFill>
                  <w14:solidFill>
                    <w14:schemeClr w14:val="tx1"/>
                  </w14:solidFill>
                </w14:textFill>
              </w:rPr>
              <w:t>★★★</w:t>
            </w:r>
          </w:p>
        </w:tc>
        <w:tc>
          <w:tcPr>
            <w:tcW w:w="1366" w:type="dxa"/>
            <w:shd w:val="clear" w:color="auto" w:fill="auto"/>
            <w:noWrap/>
            <w:vAlign w:val="center"/>
          </w:tcPr>
          <w:p>
            <w:pPr>
              <w:widowControl/>
              <w:spacing w:line="240" w:lineRule="auto"/>
              <w:ind w:firstLine="0" w:firstLineChars="0"/>
              <w:jc w:val="center"/>
              <w:rPr>
                <w:rFonts w:eastAsia="宋体" w:cs="Times New Roman"/>
                <w:color w:val="000000" w:themeColor="text1"/>
                <w:kern w:val="0"/>
                <w:sz w:val="21"/>
                <w:szCs w:val="21"/>
                <w14:textFill>
                  <w14:solidFill>
                    <w14:schemeClr w14:val="tx1"/>
                  </w14:solidFill>
                </w14:textFill>
              </w:rPr>
            </w:pPr>
            <w:r>
              <w:rPr>
                <w:rFonts w:hint="eastAsia" w:eastAsia="宋体" w:cs="宋体"/>
                <w:color w:val="000000" w:themeColor="text1"/>
                <w:kern w:val="0"/>
                <w:sz w:val="21"/>
                <w:szCs w:val="21"/>
                <w14:textFill>
                  <w14:solidFill>
                    <w14:schemeClr w14:val="tx1"/>
                  </w14:solidFill>
                </w14:textFill>
              </w:rPr>
              <w:t>★★</w:t>
            </w:r>
          </w:p>
        </w:tc>
        <w:tc>
          <w:tcPr>
            <w:tcW w:w="1323" w:type="dxa"/>
            <w:shd w:val="clear" w:color="auto" w:fill="auto"/>
            <w:noWrap/>
            <w:vAlign w:val="center"/>
          </w:tcPr>
          <w:p>
            <w:pPr>
              <w:widowControl/>
              <w:spacing w:line="240" w:lineRule="auto"/>
              <w:ind w:firstLine="0" w:firstLineChars="0"/>
              <w:jc w:val="center"/>
              <w:rPr>
                <w:rFonts w:eastAsia="宋体" w:cs="Times New Roman"/>
                <w:color w:val="000000" w:themeColor="text1"/>
                <w:kern w:val="0"/>
                <w:sz w:val="21"/>
                <w:szCs w:val="21"/>
                <w14:textFill>
                  <w14:solidFill>
                    <w14:schemeClr w14:val="tx1"/>
                  </w14:solidFill>
                </w14:textFill>
              </w:rPr>
            </w:pPr>
            <w:r>
              <w:rPr>
                <w:rFonts w:hint="eastAsia" w:eastAsia="宋体" w:cs="宋体"/>
                <w:color w:val="000000" w:themeColor="text1"/>
                <w:kern w:val="0"/>
                <w:sz w:val="21"/>
                <w:szCs w:val="21"/>
                <w14:textFill>
                  <w14:solidFill>
                    <w14:schemeClr w14:val="tx1"/>
                  </w14:solidFill>
                </w14:textFill>
              </w:rPr>
              <w:t>★★</w:t>
            </w:r>
          </w:p>
        </w:tc>
        <w:tc>
          <w:tcPr>
            <w:tcW w:w="1323" w:type="dxa"/>
            <w:shd w:val="clear" w:color="auto" w:fill="auto"/>
            <w:noWrap/>
            <w:vAlign w:val="center"/>
          </w:tcPr>
          <w:p>
            <w:pPr>
              <w:widowControl/>
              <w:spacing w:line="240" w:lineRule="auto"/>
              <w:ind w:firstLine="0" w:firstLineChars="0"/>
              <w:jc w:val="center"/>
              <w:rPr>
                <w:rFonts w:eastAsia="宋体" w:cs="Times New Roman"/>
                <w:color w:val="000000" w:themeColor="text1"/>
                <w:kern w:val="0"/>
                <w:sz w:val="21"/>
                <w:szCs w:val="21"/>
                <w14:textFill>
                  <w14:solidFill>
                    <w14:schemeClr w14:val="tx1"/>
                  </w14:solidFill>
                </w14:textFill>
              </w:rPr>
            </w:pPr>
            <w:r>
              <w:rPr>
                <w:rFonts w:hint="eastAsia" w:eastAsia="宋体" w:cs="宋体"/>
                <w:color w:val="000000" w:themeColor="text1"/>
                <w:kern w:val="0"/>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00" w:type="dxa"/>
            <w:shd w:val="clear" w:color="auto" w:fill="auto"/>
            <w:vAlign w:val="center"/>
          </w:tcPr>
          <w:p>
            <w:pPr>
              <w:widowControl/>
              <w:spacing w:line="240" w:lineRule="auto"/>
              <w:ind w:firstLine="0" w:firstLineChars="0"/>
              <w:jc w:val="center"/>
              <w:rPr>
                <w:rFonts w:eastAsia="宋体" w:cs="Times New Roman"/>
                <w:b/>
                <w:color w:val="000000" w:themeColor="text1"/>
                <w:kern w:val="0"/>
                <w:sz w:val="21"/>
                <w:szCs w:val="21"/>
                <w14:textFill>
                  <w14:solidFill>
                    <w14:schemeClr w14:val="tx1"/>
                  </w14:solidFill>
                </w14:textFill>
              </w:rPr>
            </w:pPr>
            <w:r>
              <w:rPr>
                <w:rFonts w:hint="eastAsia" w:eastAsia="宋体" w:cs="Times New Roman"/>
                <w:b w:val="0"/>
                <w:color w:val="000000" w:themeColor="text1"/>
                <w:kern w:val="0"/>
                <w:sz w:val="21"/>
                <w:szCs w:val="21"/>
                <w14:textFill>
                  <w14:solidFill>
                    <w14:schemeClr w14:val="tx1"/>
                  </w14:solidFill>
                </w14:textFill>
              </w:rPr>
              <w:t>沉井挠度</w:t>
            </w:r>
          </w:p>
        </w:tc>
        <w:tc>
          <w:tcPr>
            <w:tcW w:w="1279" w:type="dxa"/>
            <w:shd w:val="clear" w:color="auto" w:fill="auto"/>
            <w:vAlign w:val="center"/>
          </w:tcPr>
          <w:p>
            <w:pPr>
              <w:widowControl/>
              <w:spacing w:line="240" w:lineRule="auto"/>
              <w:ind w:firstLine="0" w:firstLineChars="0"/>
              <w:jc w:val="center"/>
              <w:rPr>
                <w:rFonts w:eastAsia="宋体" w:cs="Segoe UI Symbol"/>
                <w:color w:val="000000" w:themeColor="text1"/>
                <w:kern w:val="0"/>
                <w:sz w:val="21"/>
                <w:szCs w:val="21"/>
                <w14:textFill>
                  <w14:solidFill>
                    <w14:schemeClr w14:val="tx1"/>
                  </w14:solidFill>
                </w14:textFill>
              </w:rPr>
            </w:pPr>
            <w:r>
              <w:rPr>
                <w:rFonts w:hint="eastAsia" w:eastAsia="宋体" w:cs="宋体"/>
                <w:color w:val="000000" w:themeColor="text1"/>
                <w:kern w:val="0"/>
                <w:sz w:val="21"/>
                <w:szCs w:val="21"/>
                <w14:textFill>
                  <w14:solidFill>
                    <w14:schemeClr w14:val="tx1"/>
                  </w14:solidFill>
                </w14:textFill>
              </w:rPr>
              <w:t>☆</w:t>
            </w:r>
          </w:p>
        </w:tc>
        <w:tc>
          <w:tcPr>
            <w:tcW w:w="1366" w:type="dxa"/>
            <w:shd w:val="clear" w:color="auto" w:fill="auto"/>
            <w:noWrap/>
            <w:vAlign w:val="center"/>
          </w:tcPr>
          <w:p>
            <w:pPr>
              <w:widowControl/>
              <w:spacing w:line="240" w:lineRule="auto"/>
              <w:ind w:firstLine="0" w:firstLineChars="0"/>
              <w:jc w:val="center"/>
              <w:rPr>
                <w:rFonts w:eastAsia="宋体" w:cs="Segoe UI Symbol"/>
                <w:color w:val="000000" w:themeColor="text1"/>
                <w:kern w:val="0"/>
                <w:sz w:val="21"/>
                <w:szCs w:val="21"/>
                <w14:textFill>
                  <w14:solidFill>
                    <w14:schemeClr w14:val="tx1"/>
                  </w14:solidFill>
                </w14:textFill>
              </w:rPr>
            </w:pPr>
            <w:r>
              <w:rPr>
                <w:rFonts w:hint="eastAsia" w:eastAsia="宋体" w:cs="宋体"/>
                <w:color w:val="000000" w:themeColor="text1"/>
                <w:kern w:val="0"/>
                <w:sz w:val="21"/>
                <w:szCs w:val="21"/>
                <w14:textFill>
                  <w14:solidFill>
                    <w14:schemeClr w14:val="tx1"/>
                  </w14:solidFill>
                </w14:textFill>
              </w:rPr>
              <w:t>★</w:t>
            </w:r>
          </w:p>
        </w:tc>
        <w:tc>
          <w:tcPr>
            <w:tcW w:w="1323" w:type="dxa"/>
            <w:shd w:val="clear" w:color="auto" w:fill="auto"/>
            <w:noWrap/>
            <w:vAlign w:val="center"/>
          </w:tcPr>
          <w:p>
            <w:pPr>
              <w:widowControl/>
              <w:spacing w:line="240" w:lineRule="auto"/>
              <w:ind w:firstLine="0" w:firstLineChars="0"/>
              <w:jc w:val="center"/>
              <w:rPr>
                <w:rFonts w:eastAsia="宋体" w:cs="Segoe UI Symbol"/>
                <w:color w:val="000000" w:themeColor="text1"/>
                <w:kern w:val="0"/>
                <w:sz w:val="21"/>
                <w:szCs w:val="21"/>
                <w14:textFill>
                  <w14:solidFill>
                    <w14:schemeClr w14:val="tx1"/>
                  </w14:solidFill>
                </w14:textFill>
              </w:rPr>
            </w:pPr>
            <w:r>
              <w:rPr>
                <w:rFonts w:hint="eastAsia" w:eastAsia="宋体" w:cs="宋体"/>
                <w:color w:val="000000" w:themeColor="text1"/>
                <w:kern w:val="0"/>
                <w:sz w:val="21"/>
                <w:szCs w:val="21"/>
                <w14:textFill>
                  <w14:solidFill>
                    <w14:schemeClr w14:val="tx1"/>
                  </w14:solidFill>
                </w14:textFill>
              </w:rPr>
              <w:t>★★★</w:t>
            </w:r>
          </w:p>
        </w:tc>
        <w:tc>
          <w:tcPr>
            <w:tcW w:w="1323" w:type="dxa"/>
            <w:shd w:val="clear" w:color="auto" w:fill="auto"/>
            <w:noWrap/>
            <w:vAlign w:val="center"/>
          </w:tcPr>
          <w:p>
            <w:pPr>
              <w:widowControl/>
              <w:spacing w:line="240" w:lineRule="auto"/>
              <w:ind w:firstLine="0" w:firstLineChars="0"/>
              <w:jc w:val="center"/>
              <w:rPr>
                <w:rFonts w:eastAsia="宋体" w:cs="Segoe UI Symbol"/>
                <w:color w:val="000000" w:themeColor="text1"/>
                <w:kern w:val="0"/>
                <w:sz w:val="21"/>
                <w:szCs w:val="21"/>
                <w14:textFill>
                  <w14:solidFill>
                    <w14:schemeClr w14:val="tx1"/>
                  </w14:solidFill>
                </w14:textFill>
              </w:rPr>
            </w:pPr>
            <w:r>
              <w:rPr>
                <w:rFonts w:hint="eastAsia" w:eastAsia="宋体" w:cs="宋体"/>
                <w:color w:val="000000" w:themeColor="text1"/>
                <w:kern w:val="0"/>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00" w:type="dxa"/>
            <w:shd w:val="clear" w:color="auto" w:fill="auto"/>
            <w:vAlign w:val="center"/>
          </w:tcPr>
          <w:p>
            <w:pPr>
              <w:widowControl/>
              <w:spacing w:line="240" w:lineRule="auto"/>
              <w:ind w:firstLine="0" w:firstLineChars="0"/>
              <w:jc w:val="center"/>
              <w:rPr>
                <w:rFonts w:eastAsia="宋体" w:cs="Times New Roman"/>
                <w:b/>
                <w:color w:val="000000" w:themeColor="text1"/>
                <w:kern w:val="0"/>
                <w:sz w:val="21"/>
                <w:szCs w:val="21"/>
                <w14:textFill>
                  <w14:solidFill>
                    <w14:schemeClr w14:val="tx1"/>
                  </w14:solidFill>
                </w14:textFill>
              </w:rPr>
            </w:pPr>
            <w:r>
              <w:rPr>
                <w:rFonts w:hint="eastAsia" w:eastAsia="宋体" w:cs="Times New Roman"/>
                <w:b w:val="0"/>
                <w:color w:val="000000" w:themeColor="text1"/>
                <w:kern w:val="0"/>
                <w:sz w:val="21"/>
                <w:szCs w:val="21"/>
                <w14:textFill>
                  <w14:solidFill>
                    <w14:schemeClr w14:val="tx1"/>
                  </w14:solidFill>
                </w14:textFill>
              </w:rPr>
              <w:t>刃脚埋深</w:t>
            </w:r>
          </w:p>
        </w:tc>
        <w:tc>
          <w:tcPr>
            <w:tcW w:w="1279" w:type="dxa"/>
            <w:shd w:val="clear" w:color="auto" w:fill="auto"/>
            <w:vAlign w:val="center"/>
          </w:tcPr>
          <w:p>
            <w:pPr>
              <w:widowControl/>
              <w:spacing w:line="240" w:lineRule="auto"/>
              <w:ind w:firstLine="0" w:firstLineChars="0"/>
              <w:jc w:val="center"/>
              <w:rPr>
                <w:rFonts w:eastAsia="宋体" w:cs="Segoe UI Symbol"/>
                <w:color w:val="000000" w:themeColor="text1"/>
                <w:kern w:val="0"/>
                <w:sz w:val="21"/>
                <w:szCs w:val="21"/>
                <w14:textFill>
                  <w14:solidFill>
                    <w14:schemeClr w14:val="tx1"/>
                  </w14:solidFill>
                </w14:textFill>
              </w:rPr>
            </w:pPr>
            <w:r>
              <w:rPr>
                <w:rFonts w:hint="eastAsia" w:eastAsia="宋体" w:cs="宋体"/>
                <w:color w:val="000000" w:themeColor="text1"/>
                <w:kern w:val="0"/>
                <w:sz w:val="21"/>
                <w:szCs w:val="21"/>
                <w14:textFill>
                  <w14:solidFill>
                    <w14:schemeClr w14:val="tx1"/>
                  </w14:solidFill>
                </w14:textFill>
              </w:rPr>
              <w:t>★★</w:t>
            </w:r>
          </w:p>
        </w:tc>
        <w:tc>
          <w:tcPr>
            <w:tcW w:w="1366" w:type="dxa"/>
            <w:shd w:val="clear" w:color="auto" w:fill="auto"/>
            <w:noWrap/>
            <w:vAlign w:val="center"/>
          </w:tcPr>
          <w:p>
            <w:pPr>
              <w:widowControl/>
              <w:spacing w:line="240" w:lineRule="auto"/>
              <w:ind w:firstLine="0" w:firstLineChars="0"/>
              <w:jc w:val="center"/>
              <w:rPr>
                <w:rFonts w:eastAsia="宋体" w:cs="Times New Roman"/>
                <w:color w:val="000000" w:themeColor="text1"/>
                <w:kern w:val="0"/>
                <w:sz w:val="21"/>
                <w:szCs w:val="21"/>
                <w14:textFill>
                  <w14:solidFill>
                    <w14:schemeClr w14:val="tx1"/>
                  </w14:solidFill>
                </w14:textFill>
              </w:rPr>
            </w:pPr>
            <w:r>
              <w:rPr>
                <w:rFonts w:hint="eastAsia" w:eastAsia="宋体" w:cs="宋体"/>
                <w:color w:val="000000" w:themeColor="text1"/>
                <w:kern w:val="0"/>
                <w:sz w:val="21"/>
                <w:szCs w:val="21"/>
                <w14:textFill>
                  <w14:solidFill>
                    <w14:schemeClr w14:val="tx1"/>
                  </w14:solidFill>
                </w14:textFill>
              </w:rPr>
              <w:t>☆</w:t>
            </w:r>
          </w:p>
        </w:tc>
        <w:tc>
          <w:tcPr>
            <w:tcW w:w="1323" w:type="dxa"/>
            <w:shd w:val="clear" w:color="auto" w:fill="auto"/>
            <w:noWrap/>
            <w:vAlign w:val="center"/>
          </w:tcPr>
          <w:p>
            <w:pPr>
              <w:widowControl/>
              <w:spacing w:line="240" w:lineRule="auto"/>
              <w:ind w:firstLine="0" w:firstLineChars="0"/>
              <w:jc w:val="center"/>
              <w:rPr>
                <w:rFonts w:eastAsia="宋体" w:cs="Times New Roman"/>
                <w:color w:val="000000" w:themeColor="text1"/>
                <w:kern w:val="0"/>
                <w:sz w:val="21"/>
                <w:szCs w:val="21"/>
                <w14:textFill>
                  <w14:solidFill>
                    <w14:schemeClr w14:val="tx1"/>
                  </w14:solidFill>
                </w14:textFill>
              </w:rPr>
            </w:pPr>
            <w:r>
              <w:rPr>
                <w:rFonts w:hint="eastAsia" w:eastAsia="宋体" w:cs="宋体"/>
                <w:color w:val="000000" w:themeColor="text1"/>
                <w:kern w:val="0"/>
                <w:sz w:val="21"/>
                <w:szCs w:val="21"/>
                <w14:textFill>
                  <w14:solidFill>
                    <w14:schemeClr w14:val="tx1"/>
                  </w14:solidFill>
                </w14:textFill>
              </w:rPr>
              <w:t>★</w:t>
            </w:r>
          </w:p>
        </w:tc>
        <w:tc>
          <w:tcPr>
            <w:tcW w:w="1323" w:type="dxa"/>
            <w:shd w:val="clear" w:color="auto" w:fill="auto"/>
            <w:noWrap/>
            <w:vAlign w:val="center"/>
          </w:tcPr>
          <w:p>
            <w:pPr>
              <w:widowControl/>
              <w:spacing w:line="240" w:lineRule="auto"/>
              <w:ind w:firstLine="0" w:firstLineChars="0"/>
              <w:jc w:val="center"/>
              <w:rPr>
                <w:rFonts w:eastAsia="宋体" w:cs="Times New Roman"/>
                <w:color w:val="000000" w:themeColor="text1"/>
                <w:kern w:val="0"/>
                <w:sz w:val="21"/>
                <w:szCs w:val="21"/>
                <w14:textFill>
                  <w14:solidFill>
                    <w14:schemeClr w14:val="tx1"/>
                  </w14:solidFill>
                </w14:textFill>
              </w:rPr>
            </w:pPr>
            <w:r>
              <w:rPr>
                <w:rFonts w:hint="eastAsia" w:eastAsia="宋体" w:cs="宋体"/>
                <w:color w:val="000000" w:themeColor="text1"/>
                <w:kern w:val="0"/>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00" w:type="dxa"/>
            <w:shd w:val="clear" w:color="auto" w:fill="auto"/>
            <w:vAlign w:val="center"/>
          </w:tcPr>
          <w:p>
            <w:pPr>
              <w:widowControl/>
              <w:spacing w:line="240" w:lineRule="auto"/>
              <w:ind w:firstLine="0" w:firstLineChars="0"/>
              <w:jc w:val="center"/>
              <w:rPr>
                <w:rFonts w:eastAsia="宋体" w:cs="Times New Roman"/>
                <w:b/>
                <w:color w:val="000000" w:themeColor="text1"/>
                <w:kern w:val="0"/>
                <w:sz w:val="21"/>
                <w:szCs w:val="21"/>
                <w14:textFill>
                  <w14:solidFill>
                    <w14:schemeClr w14:val="tx1"/>
                  </w14:solidFill>
                </w14:textFill>
              </w:rPr>
            </w:pPr>
            <w:r>
              <w:rPr>
                <w:rFonts w:hint="eastAsia" w:eastAsia="宋体" w:cs="Times New Roman"/>
                <w:b w:val="0"/>
                <w:color w:val="000000" w:themeColor="text1"/>
                <w:kern w:val="0"/>
                <w:sz w:val="21"/>
                <w:szCs w:val="21"/>
                <w14:textFill>
                  <w14:solidFill>
                    <w14:schemeClr w14:val="tx1"/>
                  </w14:solidFill>
                </w14:textFill>
              </w:rPr>
              <w:t>河床冲刷</w:t>
            </w:r>
          </w:p>
        </w:tc>
        <w:tc>
          <w:tcPr>
            <w:tcW w:w="1279" w:type="dxa"/>
            <w:shd w:val="clear" w:color="auto" w:fill="auto"/>
            <w:vAlign w:val="center"/>
          </w:tcPr>
          <w:p>
            <w:pPr>
              <w:widowControl/>
              <w:spacing w:line="240" w:lineRule="auto"/>
              <w:ind w:firstLine="0" w:firstLineChars="0"/>
              <w:jc w:val="center"/>
              <w:rPr>
                <w:rFonts w:eastAsia="宋体" w:cs="Segoe UI Symbol"/>
                <w:color w:val="000000" w:themeColor="text1"/>
                <w:kern w:val="0"/>
                <w:sz w:val="21"/>
                <w:szCs w:val="21"/>
                <w14:textFill>
                  <w14:solidFill>
                    <w14:schemeClr w14:val="tx1"/>
                  </w14:solidFill>
                </w14:textFill>
              </w:rPr>
            </w:pPr>
            <w:r>
              <w:rPr>
                <w:rFonts w:hint="eastAsia" w:eastAsia="宋体" w:cs="宋体"/>
                <w:color w:val="000000" w:themeColor="text1"/>
                <w:kern w:val="0"/>
                <w:sz w:val="21"/>
                <w:szCs w:val="21"/>
                <w14:textFill>
                  <w14:solidFill>
                    <w14:schemeClr w14:val="tx1"/>
                  </w14:solidFill>
                </w14:textFill>
              </w:rPr>
              <w:t>★★</w:t>
            </w:r>
          </w:p>
        </w:tc>
        <w:tc>
          <w:tcPr>
            <w:tcW w:w="1366" w:type="dxa"/>
            <w:shd w:val="clear" w:color="auto" w:fill="auto"/>
            <w:noWrap/>
            <w:vAlign w:val="center"/>
          </w:tcPr>
          <w:p>
            <w:pPr>
              <w:widowControl/>
              <w:spacing w:line="240" w:lineRule="auto"/>
              <w:ind w:firstLine="0" w:firstLineChars="0"/>
              <w:jc w:val="center"/>
              <w:rPr>
                <w:rFonts w:eastAsia="宋体" w:cs="Times New Roman"/>
                <w:color w:val="000000" w:themeColor="text1"/>
                <w:kern w:val="0"/>
                <w:sz w:val="21"/>
                <w:szCs w:val="21"/>
                <w14:textFill>
                  <w14:solidFill>
                    <w14:schemeClr w14:val="tx1"/>
                  </w14:solidFill>
                </w14:textFill>
              </w:rPr>
            </w:pPr>
            <w:r>
              <w:rPr>
                <w:rFonts w:hint="eastAsia" w:eastAsia="宋体" w:cs="宋体"/>
                <w:color w:val="000000" w:themeColor="text1"/>
                <w:kern w:val="0"/>
                <w:sz w:val="21"/>
                <w:szCs w:val="21"/>
                <w14:textFill>
                  <w14:solidFill>
                    <w14:schemeClr w14:val="tx1"/>
                  </w14:solidFill>
                </w14:textFill>
              </w:rPr>
              <w:t>☆</w:t>
            </w:r>
          </w:p>
        </w:tc>
        <w:tc>
          <w:tcPr>
            <w:tcW w:w="1323" w:type="dxa"/>
            <w:shd w:val="clear" w:color="auto" w:fill="auto"/>
            <w:noWrap/>
            <w:vAlign w:val="center"/>
          </w:tcPr>
          <w:p>
            <w:pPr>
              <w:widowControl/>
              <w:spacing w:line="240" w:lineRule="auto"/>
              <w:ind w:firstLine="0" w:firstLineChars="0"/>
              <w:jc w:val="center"/>
              <w:rPr>
                <w:rFonts w:eastAsia="宋体" w:cs="Times New Roman"/>
                <w:color w:val="000000" w:themeColor="text1"/>
                <w:kern w:val="0"/>
                <w:sz w:val="21"/>
                <w:szCs w:val="21"/>
                <w14:textFill>
                  <w14:solidFill>
                    <w14:schemeClr w14:val="tx1"/>
                  </w14:solidFill>
                </w14:textFill>
              </w:rPr>
            </w:pPr>
            <w:r>
              <w:rPr>
                <w:rFonts w:hint="eastAsia" w:eastAsia="宋体" w:cs="宋体"/>
                <w:color w:val="000000" w:themeColor="text1"/>
                <w:kern w:val="0"/>
                <w:sz w:val="21"/>
                <w:szCs w:val="21"/>
                <w14:textFill>
                  <w14:solidFill>
                    <w14:schemeClr w14:val="tx1"/>
                  </w14:solidFill>
                </w14:textFill>
              </w:rPr>
              <w:t>☆</w:t>
            </w:r>
          </w:p>
        </w:tc>
        <w:tc>
          <w:tcPr>
            <w:tcW w:w="1323" w:type="dxa"/>
            <w:shd w:val="clear" w:color="auto" w:fill="auto"/>
            <w:noWrap/>
            <w:vAlign w:val="center"/>
          </w:tcPr>
          <w:p>
            <w:pPr>
              <w:widowControl/>
              <w:spacing w:line="240" w:lineRule="auto"/>
              <w:ind w:firstLine="0" w:firstLineChars="0"/>
              <w:jc w:val="center"/>
              <w:rPr>
                <w:rFonts w:eastAsia="宋体" w:cs="Times New Roman"/>
                <w:color w:val="000000" w:themeColor="text1"/>
                <w:kern w:val="0"/>
                <w:sz w:val="21"/>
                <w:szCs w:val="21"/>
                <w14:textFill>
                  <w14:solidFill>
                    <w14:schemeClr w14:val="tx1"/>
                  </w14:solidFill>
                </w14:textFill>
              </w:rPr>
            </w:pPr>
            <w:r>
              <w:rPr>
                <w:rFonts w:hint="eastAsia" w:eastAsia="宋体" w:cs="宋体"/>
                <w:color w:val="000000" w:themeColor="text1"/>
                <w:kern w:val="0"/>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00" w:type="dxa"/>
            <w:shd w:val="clear" w:color="auto" w:fill="auto"/>
            <w:vAlign w:val="center"/>
          </w:tcPr>
          <w:p>
            <w:pPr>
              <w:widowControl/>
              <w:spacing w:line="240" w:lineRule="auto"/>
              <w:ind w:firstLine="0" w:firstLineChars="0"/>
              <w:jc w:val="center"/>
              <w:rPr>
                <w:rFonts w:eastAsia="宋体" w:cs="Times New Roman"/>
                <w:b/>
                <w:color w:val="000000" w:themeColor="text1"/>
                <w:kern w:val="0"/>
                <w:sz w:val="21"/>
                <w:szCs w:val="21"/>
                <w14:textFill>
                  <w14:solidFill>
                    <w14:schemeClr w14:val="tx1"/>
                  </w14:solidFill>
                </w14:textFill>
              </w:rPr>
            </w:pPr>
            <w:r>
              <w:rPr>
                <w:rFonts w:hint="eastAsia" w:eastAsia="宋体" w:cs="Times New Roman"/>
                <w:b w:val="0"/>
                <w:color w:val="000000" w:themeColor="text1"/>
                <w:kern w:val="0"/>
                <w:sz w:val="21"/>
                <w:szCs w:val="21"/>
                <w14:textFill>
                  <w14:solidFill>
                    <w14:schemeClr w14:val="tx1"/>
                  </w14:solidFill>
                </w14:textFill>
              </w:rPr>
              <w:t>水流流速</w:t>
            </w:r>
          </w:p>
        </w:tc>
        <w:tc>
          <w:tcPr>
            <w:tcW w:w="1279" w:type="dxa"/>
            <w:shd w:val="clear" w:color="auto" w:fill="auto"/>
            <w:vAlign w:val="center"/>
          </w:tcPr>
          <w:p>
            <w:pPr>
              <w:widowControl/>
              <w:spacing w:line="240" w:lineRule="auto"/>
              <w:ind w:firstLine="0" w:firstLineChars="0"/>
              <w:jc w:val="center"/>
              <w:rPr>
                <w:rFonts w:eastAsia="宋体" w:cs="Segoe UI Symbol"/>
                <w:color w:val="000000" w:themeColor="text1"/>
                <w:kern w:val="0"/>
                <w:sz w:val="21"/>
                <w:szCs w:val="21"/>
                <w14:textFill>
                  <w14:solidFill>
                    <w14:schemeClr w14:val="tx1"/>
                  </w14:solidFill>
                </w14:textFill>
              </w:rPr>
            </w:pPr>
            <w:r>
              <w:rPr>
                <w:rFonts w:hint="eastAsia" w:eastAsia="宋体" w:cs="宋体"/>
                <w:color w:val="000000" w:themeColor="text1"/>
                <w:kern w:val="0"/>
                <w:sz w:val="21"/>
                <w:szCs w:val="21"/>
                <w14:textFill>
                  <w14:solidFill>
                    <w14:schemeClr w14:val="tx1"/>
                  </w14:solidFill>
                </w14:textFill>
              </w:rPr>
              <w:t>★★</w:t>
            </w:r>
          </w:p>
        </w:tc>
        <w:tc>
          <w:tcPr>
            <w:tcW w:w="1366" w:type="dxa"/>
            <w:shd w:val="clear" w:color="auto" w:fill="auto"/>
            <w:noWrap/>
            <w:vAlign w:val="center"/>
          </w:tcPr>
          <w:p>
            <w:pPr>
              <w:widowControl/>
              <w:spacing w:line="240" w:lineRule="auto"/>
              <w:ind w:firstLine="0" w:firstLineChars="0"/>
              <w:jc w:val="center"/>
              <w:rPr>
                <w:rFonts w:eastAsia="宋体" w:cs="Segoe UI Symbol"/>
                <w:color w:val="000000" w:themeColor="text1"/>
                <w:kern w:val="0"/>
                <w:sz w:val="21"/>
                <w:szCs w:val="21"/>
                <w14:textFill>
                  <w14:solidFill>
                    <w14:schemeClr w14:val="tx1"/>
                  </w14:solidFill>
                </w14:textFill>
              </w:rPr>
            </w:pPr>
            <w:r>
              <w:rPr>
                <w:rFonts w:hint="eastAsia" w:eastAsia="宋体" w:cs="宋体"/>
                <w:color w:val="000000" w:themeColor="text1"/>
                <w:kern w:val="0"/>
                <w:sz w:val="21"/>
                <w:szCs w:val="21"/>
                <w14:textFill>
                  <w14:solidFill>
                    <w14:schemeClr w14:val="tx1"/>
                  </w14:solidFill>
                </w14:textFill>
              </w:rPr>
              <w:t>☆</w:t>
            </w:r>
          </w:p>
        </w:tc>
        <w:tc>
          <w:tcPr>
            <w:tcW w:w="1323" w:type="dxa"/>
            <w:shd w:val="clear" w:color="auto" w:fill="auto"/>
            <w:noWrap/>
            <w:vAlign w:val="center"/>
          </w:tcPr>
          <w:p>
            <w:pPr>
              <w:widowControl/>
              <w:spacing w:line="240" w:lineRule="auto"/>
              <w:ind w:firstLine="0" w:firstLineChars="0"/>
              <w:jc w:val="center"/>
              <w:rPr>
                <w:rFonts w:eastAsia="宋体" w:cs="Segoe UI Symbol"/>
                <w:color w:val="000000" w:themeColor="text1"/>
                <w:kern w:val="0"/>
                <w:sz w:val="21"/>
                <w:szCs w:val="21"/>
                <w14:textFill>
                  <w14:solidFill>
                    <w14:schemeClr w14:val="tx1"/>
                  </w14:solidFill>
                </w14:textFill>
              </w:rPr>
            </w:pPr>
            <w:r>
              <w:rPr>
                <w:rFonts w:hint="eastAsia" w:eastAsia="宋体" w:cs="宋体"/>
                <w:color w:val="000000" w:themeColor="text1"/>
                <w:kern w:val="0"/>
                <w:sz w:val="21"/>
                <w:szCs w:val="21"/>
                <w14:textFill>
                  <w14:solidFill>
                    <w14:schemeClr w14:val="tx1"/>
                  </w14:solidFill>
                </w14:textFill>
              </w:rPr>
              <w:t>☆</w:t>
            </w:r>
          </w:p>
        </w:tc>
        <w:tc>
          <w:tcPr>
            <w:tcW w:w="1323" w:type="dxa"/>
            <w:shd w:val="clear" w:color="auto" w:fill="auto"/>
            <w:noWrap/>
            <w:vAlign w:val="center"/>
          </w:tcPr>
          <w:p>
            <w:pPr>
              <w:widowControl/>
              <w:spacing w:line="240" w:lineRule="auto"/>
              <w:ind w:firstLine="0" w:firstLineChars="0"/>
              <w:jc w:val="center"/>
              <w:rPr>
                <w:rFonts w:eastAsia="宋体" w:cs="Segoe UI Symbol"/>
                <w:color w:val="000000" w:themeColor="text1"/>
                <w:kern w:val="0"/>
                <w:sz w:val="21"/>
                <w:szCs w:val="21"/>
                <w14:textFill>
                  <w14:solidFill>
                    <w14:schemeClr w14:val="tx1"/>
                  </w14:solidFill>
                </w14:textFill>
              </w:rPr>
            </w:pPr>
            <w:r>
              <w:rPr>
                <w:rFonts w:hint="eastAsia" w:eastAsia="宋体" w:cs="宋体"/>
                <w:color w:val="000000" w:themeColor="text1"/>
                <w:kern w:val="0"/>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00" w:type="dxa"/>
            <w:shd w:val="clear" w:color="auto" w:fill="auto"/>
            <w:vAlign w:val="center"/>
          </w:tcPr>
          <w:p>
            <w:pPr>
              <w:widowControl/>
              <w:spacing w:line="240" w:lineRule="auto"/>
              <w:ind w:firstLine="0" w:firstLineChars="0"/>
              <w:jc w:val="center"/>
              <w:rPr>
                <w:rFonts w:eastAsia="宋体" w:cs="Times New Roman"/>
                <w:b/>
                <w:color w:val="000000" w:themeColor="text1"/>
                <w:kern w:val="0"/>
                <w:sz w:val="21"/>
                <w:szCs w:val="21"/>
                <w14:textFill>
                  <w14:solidFill>
                    <w14:schemeClr w14:val="tx1"/>
                  </w14:solidFill>
                </w14:textFill>
              </w:rPr>
            </w:pPr>
            <w:r>
              <w:rPr>
                <w:rFonts w:hint="eastAsia" w:eastAsia="宋体" w:cs="Times New Roman"/>
                <w:b w:val="0"/>
                <w:color w:val="000000" w:themeColor="text1"/>
                <w:kern w:val="0"/>
                <w:sz w:val="21"/>
                <w:szCs w:val="21"/>
                <w14:textFill>
                  <w14:solidFill>
                    <w14:schemeClr w14:val="tx1"/>
                  </w14:solidFill>
                </w14:textFill>
              </w:rPr>
              <w:t>锚缆拉力</w:t>
            </w:r>
          </w:p>
        </w:tc>
        <w:tc>
          <w:tcPr>
            <w:tcW w:w="1279" w:type="dxa"/>
            <w:shd w:val="clear" w:color="auto" w:fill="auto"/>
            <w:vAlign w:val="center"/>
          </w:tcPr>
          <w:p>
            <w:pPr>
              <w:widowControl/>
              <w:spacing w:line="240" w:lineRule="auto"/>
              <w:ind w:firstLine="0" w:firstLineChars="0"/>
              <w:jc w:val="center"/>
              <w:rPr>
                <w:rFonts w:eastAsia="宋体" w:cs="Segoe UI Symbol"/>
                <w:color w:val="000000" w:themeColor="text1"/>
                <w:kern w:val="0"/>
                <w:sz w:val="21"/>
                <w:szCs w:val="21"/>
                <w14:textFill>
                  <w14:solidFill>
                    <w14:schemeClr w14:val="tx1"/>
                  </w14:solidFill>
                </w14:textFill>
              </w:rPr>
            </w:pPr>
            <w:r>
              <w:rPr>
                <w:rFonts w:hint="eastAsia" w:eastAsia="宋体" w:cs="宋体"/>
                <w:color w:val="000000" w:themeColor="text1"/>
                <w:kern w:val="0"/>
                <w:sz w:val="21"/>
                <w:szCs w:val="21"/>
                <w14:textFill>
                  <w14:solidFill>
                    <w14:schemeClr w14:val="tx1"/>
                  </w14:solidFill>
                </w14:textFill>
              </w:rPr>
              <w:t>★★★</w:t>
            </w:r>
          </w:p>
        </w:tc>
        <w:tc>
          <w:tcPr>
            <w:tcW w:w="1366" w:type="dxa"/>
            <w:shd w:val="clear" w:color="auto" w:fill="auto"/>
            <w:noWrap/>
            <w:vAlign w:val="center"/>
          </w:tcPr>
          <w:p>
            <w:pPr>
              <w:widowControl/>
              <w:spacing w:line="240" w:lineRule="auto"/>
              <w:ind w:firstLine="0" w:firstLineChars="0"/>
              <w:jc w:val="center"/>
              <w:rPr>
                <w:rFonts w:eastAsia="宋体" w:cs="Segoe UI Symbol"/>
                <w:color w:val="000000" w:themeColor="text1"/>
                <w:kern w:val="0"/>
                <w:sz w:val="21"/>
                <w:szCs w:val="21"/>
                <w14:textFill>
                  <w14:solidFill>
                    <w14:schemeClr w14:val="tx1"/>
                  </w14:solidFill>
                </w14:textFill>
              </w:rPr>
            </w:pPr>
            <w:r>
              <w:rPr>
                <w:rFonts w:eastAsia="宋体" w:cs="Segoe UI Symbol"/>
                <w:color w:val="000000" w:themeColor="text1"/>
                <w:kern w:val="0"/>
                <w:sz w:val="21"/>
                <w:szCs w:val="21"/>
                <w14:textFill>
                  <w14:solidFill>
                    <w14:schemeClr w14:val="tx1"/>
                  </w14:solidFill>
                </w14:textFill>
              </w:rPr>
              <w:t>—</w:t>
            </w:r>
          </w:p>
        </w:tc>
        <w:tc>
          <w:tcPr>
            <w:tcW w:w="1323" w:type="dxa"/>
            <w:shd w:val="clear" w:color="auto" w:fill="auto"/>
            <w:noWrap/>
            <w:vAlign w:val="center"/>
          </w:tcPr>
          <w:p>
            <w:pPr>
              <w:widowControl/>
              <w:spacing w:line="240" w:lineRule="auto"/>
              <w:ind w:firstLine="0" w:firstLineChars="0"/>
              <w:jc w:val="center"/>
              <w:rPr>
                <w:rFonts w:eastAsia="宋体" w:cs="Segoe UI Symbol"/>
                <w:color w:val="000000" w:themeColor="text1"/>
                <w:kern w:val="0"/>
                <w:sz w:val="21"/>
                <w:szCs w:val="21"/>
                <w14:textFill>
                  <w14:solidFill>
                    <w14:schemeClr w14:val="tx1"/>
                  </w14:solidFill>
                </w14:textFill>
              </w:rPr>
            </w:pPr>
            <w:r>
              <w:rPr>
                <w:rFonts w:eastAsia="宋体" w:cs="Segoe UI Symbol"/>
                <w:color w:val="000000" w:themeColor="text1"/>
                <w:kern w:val="0"/>
                <w:sz w:val="21"/>
                <w:szCs w:val="21"/>
                <w14:textFill>
                  <w14:solidFill>
                    <w14:schemeClr w14:val="tx1"/>
                  </w14:solidFill>
                </w14:textFill>
              </w:rPr>
              <w:t>—</w:t>
            </w:r>
          </w:p>
        </w:tc>
        <w:tc>
          <w:tcPr>
            <w:tcW w:w="1323" w:type="dxa"/>
            <w:shd w:val="clear" w:color="auto" w:fill="auto"/>
            <w:noWrap/>
            <w:vAlign w:val="center"/>
          </w:tcPr>
          <w:p>
            <w:pPr>
              <w:widowControl/>
              <w:spacing w:line="240" w:lineRule="auto"/>
              <w:ind w:firstLine="0" w:firstLineChars="0"/>
              <w:jc w:val="center"/>
              <w:rPr>
                <w:rFonts w:eastAsia="宋体" w:cs="Segoe UI Symbol"/>
                <w:color w:val="000000" w:themeColor="text1"/>
                <w:kern w:val="0"/>
                <w:sz w:val="21"/>
                <w:szCs w:val="21"/>
                <w14:textFill>
                  <w14:solidFill>
                    <w14:schemeClr w14:val="tx1"/>
                  </w14:solidFill>
                </w14:textFill>
              </w:rPr>
            </w:pPr>
            <w:r>
              <w:rPr>
                <w:rFonts w:eastAsia="宋体" w:cs="Segoe UI Symbol"/>
                <w:color w:val="000000" w:themeColor="text1"/>
                <w:kern w:val="0"/>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00" w:type="dxa"/>
            <w:shd w:val="clear" w:color="auto" w:fill="auto"/>
            <w:vAlign w:val="center"/>
          </w:tcPr>
          <w:p>
            <w:pPr>
              <w:widowControl/>
              <w:spacing w:line="240" w:lineRule="auto"/>
              <w:ind w:firstLine="0" w:firstLineChars="0"/>
              <w:jc w:val="center"/>
              <w:rPr>
                <w:rFonts w:eastAsia="宋体" w:cs="Times New Roman"/>
                <w:b/>
                <w:color w:val="000000" w:themeColor="text1"/>
                <w:kern w:val="0"/>
                <w:sz w:val="21"/>
                <w:szCs w:val="21"/>
                <w14:textFill>
                  <w14:solidFill>
                    <w14:schemeClr w14:val="tx1"/>
                  </w14:solidFill>
                </w14:textFill>
              </w:rPr>
            </w:pPr>
            <w:r>
              <w:rPr>
                <w:rFonts w:hint="eastAsia" w:eastAsia="宋体" w:cs="Times New Roman"/>
                <w:b w:val="0"/>
                <w:color w:val="000000" w:themeColor="text1"/>
                <w:kern w:val="0"/>
                <w:sz w:val="21"/>
                <w:szCs w:val="21"/>
                <w14:textFill>
                  <w14:solidFill>
                    <w14:schemeClr w14:val="tx1"/>
                  </w14:solidFill>
                </w14:textFill>
              </w:rPr>
              <w:t>隔舱水位</w:t>
            </w:r>
          </w:p>
        </w:tc>
        <w:tc>
          <w:tcPr>
            <w:tcW w:w="1279" w:type="dxa"/>
            <w:shd w:val="clear" w:color="auto" w:fill="auto"/>
            <w:vAlign w:val="center"/>
          </w:tcPr>
          <w:p>
            <w:pPr>
              <w:widowControl/>
              <w:spacing w:line="240" w:lineRule="auto"/>
              <w:ind w:firstLine="0" w:firstLineChars="0"/>
              <w:jc w:val="center"/>
              <w:rPr>
                <w:rFonts w:eastAsia="宋体" w:cs="Segoe UI Symbol"/>
                <w:color w:val="000000" w:themeColor="text1"/>
                <w:kern w:val="0"/>
                <w:sz w:val="21"/>
                <w:szCs w:val="21"/>
                <w14:textFill>
                  <w14:solidFill>
                    <w14:schemeClr w14:val="tx1"/>
                  </w14:solidFill>
                </w14:textFill>
              </w:rPr>
            </w:pPr>
            <w:r>
              <w:rPr>
                <w:rFonts w:hint="eastAsia" w:eastAsia="宋体" w:cs="宋体"/>
                <w:color w:val="000000" w:themeColor="text1"/>
                <w:kern w:val="0"/>
                <w:sz w:val="21"/>
                <w:szCs w:val="21"/>
                <w14:textFill>
                  <w14:solidFill>
                    <w14:schemeClr w14:val="tx1"/>
                  </w14:solidFill>
                </w14:textFill>
              </w:rPr>
              <w:t>★★★</w:t>
            </w:r>
          </w:p>
        </w:tc>
        <w:tc>
          <w:tcPr>
            <w:tcW w:w="1366" w:type="dxa"/>
            <w:shd w:val="clear" w:color="auto" w:fill="auto"/>
            <w:noWrap/>
            <w:vAlign w:val="center"/>
          </w:tcPr>
          <w:p>
            <w:pPr>
              <w:widowControl/>
              <w:spacing w:line="240" w:lineRule="auto"/>
              <w:ind w:firstLine="0" w:firstLineChars="0"/>
              <w:jc w:val="center"/>
              <w:rPr>
                <w:rFonts w:eastAsia="宋体" w:cs="Segoe UI Symbol"/>
                <w:color w:val="000000" w:themeColor="text1"/>
                <w:kern w:val="0"/>
                <w:sz w:val="21"/>
                <w:szCs w:val="21"/>
                <w14:textFill>
                  <w14:solidFill>
                    <w14:schemeClr w14:val="tx1"/>
                  </w14:solidFill>
                </w14:textFill>
              </w:rPr>
            </w:pPr>
            <w:r>
              <w:rPr>
                <w:rFonts w:eastAsia="宋体" w:cs="Segoe UI Symbol"/>
                <w:color w:val="000000" w:themeColor="text1"/>
                <w:kern w:val="0"/>
                <w:sz w:val="21"/>
                <w:szCs w:val="21"/>
                <w14:textFill>
                  <w14:solidFill>
                    <w14:schemeClr w14:val="tx1"/>
                  </w14:solidFill>
                </w14:textFill>
              </w:rPr>
              <w:t>—</w:t>
            </w:r>
          </w:p>
        </w:tc>
        <w:tc>
          <w:tcPr>
            <w:tcW w:w="1323" w:type="dxa"/>
            <w:shd w:val="clear" w:color="auto" w:fill="auto"/>
            <w:noWrap/>
            <w:vAlign w:val="center"/>
          </w:tcPr>
          <w:p>
            <w:pPr>
              <w:widowControl/>
              <w:spacing w:line="240" w:lineRule="auto"/>
              <w:ind w:firstLine="0" w:firstLineChars="0"/>
              <w:jc w:val="center"/>
              <w:rPr>
                <w:rFonts w:eastAsia="宋体" w:cs="Segoe UI Symbol"/>
                <w:color w:val="000000" w:themeColor="text1"/>
                <w:kern w:val="0"/>
                <w:sz w:val="21"/>
                <w:szCs w:val="21"/>
                <w14:textFill>
                  <w14:solidFill>
                    <w14:schemeClr w14:val="tx1"/>
                  </w14:solidFill>
                </w14:textFill>
              </w:rPr>
            </w:pPr>
            <w:r>
              <w:rPr>
                <w:rFonts w:eastAsia="宋体" w:cs="Segoe UI Symbol"/>
                <w:color w:val="000000" w:themeColor="text1"/>
                <w:kern w:val="0"/>
                <w:sz w:val="21"/>
                <w:szCs w:val="21"/>
                <w14:textFill>
                  <w14:solidFill>
                    <w14:schemeClr w14:val="tx1"/>
                  </w14:solidFill>
                </w14:textFill>
              </w:rPr>
              <w:t>—</w:t>
            </w:r>
          </w:p>
        </w:tc>
        <w:tc>
          <w:tcPr>
            <w:tcW w:w="1323" w:type="dxa"/>
            <w:shd w:val="clear" w:color="auto" w:fill="auto"/>
            <w:noWrap/>
            <w:vAlign w:val="center"/>
          </w:tcPr>
          <w:p>
            <w:pPr>
              <w:widowControl/>
              <w:spacing w:line="240" w:lineRule="auto"/>
              <w:ind w:firstLine="0" w:firstLineChars="0"/>
              <w:jc w:val="center"/>
              <w:rPr>
                <w:rFonts w:eastAsia="宋体" w:cs="Segoe UI Symbol"/>
                <w:color w:val="000000" w:themeColor="text1"/>
                <w:kern w:val="0"/>
                <w:sz w:val="21"/>
                <w:szCs w:val="21"/>
                <w14:textFill>
                  <w14:solidFill>
                    <w14:schemeClr w14:val="tx1"/>
                  </w14:solidFill>
                </w14:textFill>
              </w:rPr>
            </w:pPr>
            <w:r>
              <w:rPr>
                <w:rFonts w:eastAsia="宋体" w:cs="Segoe UI Symbol"/>
                <w:color w:val="000000" w:themeColor="text1"/>
                <w:kern w:val="0"/>
                <w:sz w:val="21"/>
                <w:szCs w:val="21"/>
                <w14:textFill>
                  <w14:solidFill>
                    <w14:schemeClr w14:val="tx1"/>
                  </w14:solidFill>
                </w14:textFill>
              </w:rPr>
              <w:t>—</w:t>
            </w:r>
          </w:p>
        </w:tc>
      </w:tr>
    </w:tbl>
    <w:p>
      <w:pPr>
        <w:pStyle w:val="4"/>
      </w:pPr>
      <w:bookmarkStart w:id="375" w:name="_Toc77763577"/>
      <w:bookmarkStart w:id="376" w:name="_Toc104109519"/>
      <w:r>
        <w:rPr>
          <w:rFonts w:hint="eastAsia"/>
        </w:rPr>
        <w:t>当沉井邻近重要建</w:t>
      </w:r>
      <w:r>
        <w:t>(</w:t>
      </w:r>
      <w:r>
        <w:rPr>
          <w:rFonts w:hint="eastAsia"/>
        </w:rPr>
        <w:t>构</w:t>
      </w:r>
      <w:r>
        <w:t>)</w:t>
      </w:r>
      <w:r>
        <w:rPr>
          <w:rFonts w:hint="eastAsia"/>
        </w:rPr>
        <w:t>筑物、地铁、隧道、城市生命线工程或附近存在有特殊要求的仪器设备时，应按相关管路部门的特殊要求增加监测项目。</w:t>
      </w:r>
      <w:bookmarkEnd w:id="375"/>
      <w:bookmarkEnd w:id="376"/>
    </w:p>
    <w:p>
      <w:pPr>
        <w:pStyle w:val="4"/>
      </w:pPr>
      <w:bookmarkStart w:id="377" w:name="_Toc77763579"/>
      <w:bookmarkStart w:id="378" w:name="_Toc104109520"/>
      <w:r>
        <w:rPr>
          <w:rFonts w:hint="eastAsia"/>
        </w:rPr>
        <w:t>沉井下沉前三天应完成监测项目初始值测定，取</w:t>
      </w:r>
      <w:r>
        <w:t>2</w:t>
      </w:r>
      <w:r>
        <w:rPr>
          <w:rFonts w:hint="eastAsia"/>
        </w:rPr>
        <w:t>次~</w:t>
      </w:r>
      <w:r>
        <w:t>3</w:t>
      </w:r>
      <w:r>
        <w:rPr>
          <w:rFonts w:hint="eastAsia"/>
        </w:rPr>
        <w:t>次观测平均值作为该监测项目初始值。工程监测的现场记录内容应真实规范，并妥善保管。</w:t>
      </w:r>
      <w:bookmarkEnd w:id="377"/>
      <w:bookmarkEnd w:id="378"/>
    </w:p>
    <w:p>
      <w:pPr>
        <w:pStyle w:val="4"/>
      </w:pPr>
      <w:bookmarkStart w:id="379" w:name="_Toc77763580"/>
      <w:bookmarkStart w:id="380" w:name="_Toc104109521"/>
      <w:r>
        <w:rPr>
          <w:rFonts w:hint="eastAsia"/>
        </w:rPr>
        <w:t>监测单位应严格实施监测方案，及时分析处理监测数据，并应将监测结果和评价及时通知各相关单位。</w:t>
      </w:r>
      <w:bookmarkEnd w:id="379"/>
      <w:bookmarkEnd w:id="380"/>
    </w:p>
    <w:p>
      <w:pPr>
        <w:pStyle w:val="4"/>
      </w:pPr>
      <w:bookmarkStart w:id="381" w:name="_Toc77763581"/>
      <w:bookmarkStart w:id="382" w:name="_Toc104109522"/>
      <w:r>
        <w:rPr>
          <w:rFonts w:hint="eastAsia"/>
        </w:rPr>
        <w:t>当监测数据达到警戒值时，必须立即通报各相关单位并增加监测频率。监测警戒值建议值应由建设设计及相关单位等。</w:t>
      </w:r>
      <w:bookmarkEnd w:id="381"/>
      <w:bookmarkEnd w:id="382"/>
    </w:p>
    <w:p>
      <w:pPr>
        <w:pStyle w:val="4"/>
      </w:pPr>
      <w:bookmarkStart w:id="383" w:name="_Toc77763582"/>
      <w:bookmarkStart w:id="384" w:name="_Toc104109523"/>
      <w:r>
        <w:rPr>
          <w:rFonts w:hint="eastAsia"/>
        </w:rPr>
        <w:t>监测仪器应在效验的有效期内，并应定期检查和保养，仪器性能应完好。</w:t>
      </w:r>
      <w:bookmarkEnd w:id="383"/>
      <w:bookmarkEnd w:id="384"/>
    </w:p>
    <w:p>
      <w:pPr>
        <w:pStyle w:val="4"/>
      </w:pPr>
      <w:bookmarkStart w:id="385" w:name="_Toc77763583"/>
      <w:bookmarkStart w:id="386" w:name="_Toc104109524"/>
      <w:r>
        <w:rPr>
          <w:rFonts w:hint="eastAsia"/>
        </w:rPr>
        <w:t>监测</w:t>
      </w:r>
      <w:r>
        <w:t>(</w:t>
      </w:r>
      <w:r>
        <w:rPr>
          <w:rFonts w:hint="eastAsia"/>
        </w:rPr>
        <w:t>点</w:t>
      </w:r>
      <w:r>
        <w:t>)</w:t>
      </w:r>
      <w:r>
        <w:rPr>
          <w:rFonts w:hint="eastAsia"/>
        </w:rPr>
        <w:t>孔的布置应由工程安全等级、环境保护等级、周边邻近建</w:t>
      </w:r>
      <w:r>
        <w:t>(</w:t>
      </w:r>
      <w:r>
        <w:rPr>
          <w:rFonts w:hint="eastAsia"/>
        </w:rPr>
        <w:t>构</w:t>
      </w:r>
      <w:r>
        <w:t>)</w:t>
      </w:r>
      <w:r>
        <w:rPr>
          <w:rFonts w:hint="eastAsia"/>
        </w:rPr>
        <w:t>筑物性质、地下管线现状、沉井的类型及形状、位置以及挖土方案，施工进度等因素综合确定。</w:t>
      </w:r>
      <w:bookmarkEnd w:id="385"/>
      <w:bookmarkEnd w:id="386"/>
    </w:p>
    <w:p>
      <w:pPr>
        <w:pStyle w:val="4"/>
      </w:pPr>
      <w:bookmarkStart w:id="387" w:name="_Toc77763584"/>
      <w:bookmarkStart w:id="388" w:name="_Toc104109525"/>
      <w:r>
        <w:rPr>
          <w:rFonts w:hint="eastAsia"/>
        </w:rPr>
        <w:t>监测点</w:t>
      </w:r>
      <w:r>
        <w:t>(</w:t>
      </w:r>
      <w:r>
        <w:rPr>
          <w:rFonts w:hint="eastAsia"/>
        </w:rPr>
        <w:t>孔</w:t>
      </w:r>
      <w:r>
        <w:t>)</w:t>
      </w:r>
      <w:r>
        <w:rPr>
          <w:rFonts w:hint="eastAsia"/>
        </w:rPr>
        <w:t>应严格按经审批的监测方案布置，埋设成活率应满足工程监测需要，重要监测点损坏后应及时修复或重布，施工过程中应做好监测点的保护工作，必要时设置监测点的保护装置或保护措施。</w:t>
      </w:r>
      <w:bookmarkEnd w:id="387"/>
      <w:bookmarkEnd w:id="388"/>
    </w:p>
    <w:p>
      <w:pPr>
        <w:pStyle w:val="3"/>
        <w:spacing w:before="312"/>
      </w:pPr>
      <w:bookmarkStart w:id="389" w:name="_Toc112317339"/>
      <w:r>
        <w:rPr>
          <w:rFonts w:hint="eastAsia"/>
        </w:rPr>
        <w:t>监测与报警</w:t>
      </w:r>
      <w:bookmarkEnd w:id="389"/>
    </w:p>
    <w:p>
      <w:pPr>
        <w:pStyle w:val="4"/>
      </w:pPr>
      <w:bookmarkStart w:id="390" w:name="_Toc77763586"/>
      <w:bookmarkStart w:id="391" w:name="_Toc104109527"/>
      <w:r>
        <w:rPr>
          <w:rFonts w:hint="eastAsia"/>
        </w:rPr>
        <w:t>沉井监测时不应影响其结构安全、妨碍其正常使用。</w:t>
      </w:r>
      <w:bookmarkEnd w:id="390"/>
      <w:bookmarkEnd w:id="391"/>
    </w:p>
    <w:p>
      <w:pPr>
        <w:pStyle w:val="4"/>
      </w:pPr>
      <w:bookmarkStart w:id="392" w:name="_Toc77763587"/>
      <w:bookmarkStart w:id="393" w:name="_Toc104109528"/>
      <w:r>
        <w:rPr>
          <w:rFonts w:hint="eastAsia"/>
        </w:rPr>
        <w:t>在沉井结构墙体中部、阳角处、结构受力和变形较大处宜布置监测点，附近有重点监护对象时应加密监测点，有特殊要求的沉井可对侧壁变形进行监测。不同监测项目的监测点宜布置在同一断面上。</w:t>
      </w:r>
      <w:bookmarkEnd w:id="392"/>
      <w:bookmarkEnd w:id="393"/>
    </w:p>
    <w:p>
      <w:pPr>
        <w:pStyle w:val="4"/>
      </w:pPr>
      <w:bookmarkStart w:id="394" w:name="_Toc77763588"/>
      <w:bookmarkStart w:id="395" w:name="_Toc104109529"/>
      <w:r>
        <w:rPr>
          <w:rFonts w:hint="eastAsia"/>
        </w:rPr>
        <w:t>所有传感器导线从井壁、隔墙内引至地面采集点，穿越混凝土时应采用套管保护。</w:t>
      </w:r>
      <w:bookmarkEnd w:id="394"/>
      <w:bookmarkEnd w:id="395"/>
    </w:p>
    <w:p>
      <w:pPr>
        <w:pStyle w:val="4"/>
      </w:pPr>
      <w:bookmarkStart w:id="396" w:name="_Toc77763589"/>
      <w:bookmarkStart w:id="397" w:name="_Toc104109530"/>
      <w:r>
        <w:rPr>
          <w:rFonts w:hint="eastAsia"/>
        </w:rPr>
        <w:t>监测频率与报警建议值宜根据工程性质、施工工况按表</w:t>
      </w:r>
      <w:r>
        <w:t>6.2.4-1</w:t>
      </w:r>
      <w:r>
        <w:rPr>
          <w:rFonts w:hint="eastAsia"/>
        </w:rPr>
        <w:t>、表</w:t>
      </w:r>
      <w:r>
        <w:t>6.2.4-2</w:t>
      </w:r>
      <w:r>
        <w:rPr>
          <w:rFonts w:hint="eastAsia"/>
        </w:rPr>
        <w:t>执行，若监测项目的日变化量较大时，应适当加密。</w:t>
      </w:r>
      <w:bookmarkEnd w:id="396"/>
      <w:bookmarkEnd w:id="397"/>
    </w:p>
    <w:p>
      <w:pPr>
        <w:pStyle w:val="8"/>
        <w:ind w:firstLine="420"/>
        <w:rPr>
          <w:b w:val="0"/>
        </w:rPr>
      </w:pPr>
      <w:r>
        <w:rPr>
          <w:rFonts w:hint="eastAsia"/>
          <w:b w:val="0"/>
        </w:rPr>
        <w:t>表</w:t>
      </w:r>
      <w:r>
        <w:rPr>
          <w:b w:val="0"/>
        </w:rPr>
        <w:t xml:space="preserve">6.2.4-1 </w:t>
      </w:r>
      <w:r>
        <w:rPr>
          <w:rFonts w:hint="eastAsia"/>
          <w:b w:val="0"/>
        </w:rPr>
        <w:t>主体结构监测频率</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4"/>
        <w:gridCol w:w="4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794" w:type="dxa"/>
          </w:tcPr>
          <w:p>
            <w:pPr>
              <w:pStyle w:val="59"/>
            </w:pPr>
            <w:r>
              <w:rPr>
                <w:rFonts w:hint="eastAsia"/>
              </w:rPr>
              <w:t>下沉工况</w:t>
            </w:r>
          </w:p>
        </w:tc>
        <w:tc>
          <w:tcPr>
            <w:tcW w:w="4728" w:type="dxa"/>
          </w:tcPr>
          <w:p>
            <w:pPr>
              <w:pStyle w:val="59"/>
            </w:pPr>
            <w:r>
              <w:rPr>
                <w:rFonts w:hint="eastAsia"/>
              </w:rPr>
              <w:t>监测频率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794" w:type="dxa"/>
          </w:tcPr>
          <w:p>
            <w:pPr>
              <w:pStyle w:val="59"/>
            </w:pPr>
            <w:r>
              <w:rPr>
                <w:rFonts w:hint="eastAsia"/>
              </w:rPr>
              <w:t>下沉前</w:t>
            </w:r>
          </w:p>
        </w:tc>
        <w:tc>
          <w:tcPr>
            <w:tcW w:w="4728" w:type="dxa"/>
          </w:tcPr>
          <w:p>
            <w:pPr>
              <w:pStyle w:val="59"/>
            </w:pPr>
            <w:r>
              <w:rPr>
                <w:rFonts w:hint="eastAsia"/>
              </w:rPr>
              <w:t>至少测</w:t>
            </w:r>
            <w:r>
              <w:t>3</w:t>
            </w:r>
            <w:r>
              <w:rPr>
                <w:rFonts w:hint="eastAsia"/>
              </w:rPr>
              <w:t>次初值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794" w:type="dxa"/>
          </w:tcPr>
          <w:p>
            <w:pPr>
              <w:pStyle w:val="59"/>
            </w:pPr>
            <w:r>
              <w:rPr>
                <w:rFonts w:hint="eastAsia"/>
              </w:rPr>
              <w:t>下沉过程中</w:t>
            </w:r>
          </w:p>
        </w:tc>
        <w:tc>
          <w:tcPr>
            <w:tcW w:w="4728" w:type="dxa"/>
          </w:tcPr>
          <w:p>
            <w:pPr>
              <w:pStyle w:val="59"/>
            </w:pPr>
            <w:r>
              <w:t>1</w:t>
            </w:r>
            <w:r>
              <w:rPr>
                <w:rFonts w:hint="eastAsia"/>
              </w:rPr>
              <w:t>次</w:t>
            </w:r>
            <w:r>
              <w:t>/d</w:t>
            </w:r>
            <w:r>
              <w:rPr>
                <w:rFonts w:hint="eastAsia"/>
              </w:rPr>
              <w:t>，如监测数据超过警戒值，应</w:t>
            </w:r>
            <w:r>
              <w:t>2</w:t>
            </w:r>
            <w:r>
              <w:rPr>
                <w:rFonts w:hint="eastAsia"/>
              </w:rPr>
              <w:t>次</w:t>
            </w:r>
            <w: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794" w:type="dxa"/>
          </w:tcPr>
          <w:p>
            <w:pPr>
              <w:pStyle w:val="59"/>
            </w:pPr>
            <w:r>
              <w:rPr>
                <w:rFonts w:hint="eastAsia"/>
              </w:rPr>
              <w:t>结构接高过程</w:t>
            </w:r>
          </w:p>
        </w:tc>
        <w:tc>
          <w:tcPr>
            <w:tcW w:w="4728" w:type="dxa"/>
          </w:tcPr>
          <w:p>
            <w:pPr>
              <w:pStyle w:val="59"/>
            </w:pPr>
            <w:r>
              <w:t>2</w:t>
            </w:r>
            <w:r>
              <w:rPr>
                <w:rFonts w:hint="eastAsia"/>
              </w:rPr>
              <w:t>次</w:t>
            </w:r>
            <w:r>
              <w:t>/7d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794" w:type="dxa"/>
          </w:tcPr>
          <w:p>
            <w:pPr>
              <w:pStyle w:val="59"/>
            </w:pPr>
            <w:r>
              <w:rPr>
                <w:rFonts w:hint="eastAsia"/>
              </w:rPr>
              <w:t>封底过程中</w:t>
            </w:r>
          </w:p>
        </w:tc>
        <w:tc>
          <w:tcPr>
            <w:tcW w:w="4728" w:type="dxa"/>
          </w:tcPr>
          <w:p>
            <w:pPr>
              <w:pStyle w:val="59"/>
            </w:pPr>
            <w:r>
              <w:t>1</w:t>
            </w:r>
            <w:r>
              <w:rPr>
                <w:rFonts w:hint="eastAsia"/>
              </w:rPr>
              <w:t>次</w:t>
            </w:r>
            <w:r>
              <w:t>/d</w:t>
            </w:r>
            <w:r>
              <w:rPr>
                <w:rFonts w:hint="eastAsia"/>
              </w:rPr>
              <w:t>，如监测数据超过警戒值，应</w:t>
            </w:r>
            <w:r>
              <w:t>2</w:t>
            </w:r>
            <w:r>
              <w:rPr>
                <w:rFonts w:hint="eastAsia"/>
              </w:rPr>
              <w:t>次</w:t>
            </w:r>
            <w: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794" w:type="dxa"/>
          </w:tcPr>
          <w:p>
            <w:pPr>
              <w:pStyle w:val="59"/>
            </w:pPr>
            <w:r>
              <w:rPr>
                <w:rFonts w:hint="eastAsia"/>
              </w:rPr>
              <w:t>封底结束后</w:t>
            </w:r>
            <w:r>
              <w:t>7d~30d</w:t>
            </w:r>
          </w:p>
        </w:tc>
        <w:tc>
          <w:tcPr>
            <w:tcW w:w="4728" w:type="dxa"/>
          </w:tcPr>
          <w:p>
            <w:pPr>
              <w:pStyle w:val="59"/>
            </w:pPr>
            <w:r>
              <w:t>1</w:t>
            </w:r>
            <w:r>
              <w:rPr>
                <w:rFonts w:hint="eastAsia"/>
              </w:rPr>
              <w:t>次</w:t>
            </w:r>
            <w:r>
              <w:t>/3d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794" w:type="dxa"/>
          </w:tcPr>
          <w:p>
            <w:pPr>
              <w:pStyle w:val="59"/>
            </w:pPr>
            <w:r>
              <w:rPr>
                <w:rFonts w:hint="eastAsia"/>
              </w:rPr>
              <w:t>后期</w:t>
            </w:r>
            <w:r>
              <w:t>30d~60d</w:t>
            </w:r>
          </w:p>
        </w:tc>
        <w:tc>
          <w:tcPr>
            <w:tcW w:w="4728" w:type="dxa"/>
          </w:tcPr>
          <w:p>
            <w:pPr>
              <w:pStyle w:val="59"/>
            </w:pPr>
            <w:r>
              <w:t>1</w:t>
            </w:r>
            <w:r>
              <w:rPr>
                <w:rFonts w:hint="eastAsia"/>
              </w:rPr>
              <w:t>次</w:t>
            </w:r>
            <w:r>
              <w:t>/15d</w:t>
            </w:r>
          </w:p>
        </w:tc>
      </w:tr>
    </w:tbl>
    <w:p>
      <w:pPr>
        <w:pStyle w:val="8"/>
        <w:ind w:firstLine="420"/>
        <w:rPr>
          <w:b w:val="0"/>
        </w:rPr>
      </w:pPr>
      <w:r>
        <w:rPr>
          <w:rFonts w:hint="eastAsia"/>
          <w:b w:val="0"/>
        </w:rPr>
        <w:t>表</w:t>
      </w:r>
      <w:r>
        <w:rPr>
          <w:b w:val="0"/>
        </w:rPr>
        <w:t xml:space="preserve">6.2.4-2 </w:t>
      </w:r>
      <w:r>
        <w:rPr>
          <w:rFonts w:hint="eastAsia"/>
          <w:b w:val="0"/>
        </w:rPr>
        <w:t>主体结构监测报警值</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59"/>
            </w:pPr>
            <w:r>
              <w:rPr>
                <w:rFonts w:hint="eastAsia"/>
              </w:rPr>
              <w:t>项目</w:t>
            </w:r>
          </w:p>
        </w:tc>
        <w:tc>
          <w:tcPr>
            <w:tcW w:w="2841" w:type="dxa"/>
            <w:vAlign w:val="center"/>
          </w:tcPr>
          <w:p>
            <w:pPr>
              <w:pStyle w:val="59"/>
            </w:pPr>
            <w:r>
              <w:rPr>
                <w:rFonts w:hint="eastAsia"/>
              </w:rPr>
              <w:t>每次下沉到位时</w:t>
            </w:r>
          </w:p>
          <w:p>
            <w:pPr>
              <w:pStyle w:val="59"/>
            </w:pPr>
            <w:r>
              <w:rPr>
                <w:rFonts w:hint="eastAsia"/>
              </w:rPr>
              <w:t>（除终沉外）</w:t>
            </w:r>
          </w:p>
        </w:tc>
        <w:tc>
          <w:tcPr>
            <w:tcW w:w="2841" w:type="dxa"/>
            <w:vAlign w:val="center"/>
          </w:tcPr>
          <w:p>
            <w:pPr>
              <w:pStyle w:val="59"/>
            </w:pPr>
            <w:r>
              <w:rPr>
                <w:rFonts w:hint="eastAsia"/>
              </w:rPr>
              <w:t>每次下沉过程中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40" w:type="dxa"/>
            <w:vAlign w:val="center"/>
          </w:tcPr>
          <w:p>
            <w:pPr>
              <w:pStyle w:val="59"/>
            </w:pPr>
            <w:r>
              <w:rPr>
                <w:rFonts w:hint="eastAsia"/>
              </w:rPr>
              <w:t>位移情况（平行线路方向）</w:t>
            </w:r>
          </w:p>
        </w:tc>
        <w:tc>
          <w:tcPr>
            <w:tcW w:w="2841" w:type="dxa"/>
            <w:vAlign w:val="center"/>
          </w:tcPr>
          <w:p>
            <w:pPr>
              <w:pStyle w:val="59"/>
            </w:pPr>
            <w:r>
              <w:t>1%H</w:t>
            </w:r>
          </w:p>
        </w:tc>
        <w:tc>
          <w:tcPr>
            <w:tcW w:w="2841" w:type="dxa"/>
            <w:vAlign w:val="center"/>
          </w:tcPr>
          <w:p>
            <w:pPr>
              <w:pStyle w:val="59"/>
            </w:pPr>
            <w: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40" w:type="dxa"/>
            <w:vAlign w:val="center"/>
          </w:tcPr>
          <w:p>
            <w:pPr>
              <w:pStyle w:val="59"/>
            </w:pPr>
            <w:r>
              <w:rPr>
                <w:rFonts w:hint="eastAsia"/>
              </w:rPr>
              <w:t>位移情况（垂直线路方向）</w:t>
            </w:r>
          </w:p>
        </w:tc>
        <w:tc>
          <w:tcPr>
            <w:tcW w:w="2841" w:type="dxa"/>
            <w:vAlign w:val="center"/>
          </w:tcPr>
          <w:p>
            <w:pPr>
              <w:pStyle w:val="59"/>
            </w:pPr>
            <w:r>
              <w:t>100</w:t>
            </w:r>
          </w:p>
        </w:tc>
        <w:tc>
          <w:tcPr>
            <w:tcW w:w="2841" w:type="dxa"/>
            <w:vAlign w:val="center"/>
          </w:tcPr>
          <w:p>
            <w:pPr>
              <w:pStyle w:val="59"/>
            </w:pPr>
            <w: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40" w:type="dxa"/>
            <w:vAlign w:val="center"/>
          </w:tcPr>
          <w:p>
            <w:pPr>
              <w:pStyle w:val="59"/>
            </w:pPr>
            <w:r>
              <w:rPr>
                <w:rFonts w:hint="eastAsia"/>
              </w:rPr>
              <w:t>沉井四角高差</w:t>
            </w:r>
          </w:p>
        </w:tc>
        <w:tc>
          <w:tcPr>
            <w:tcW w:w="2841" w:type="dxa"/>
            <w:vAlign w:val="center"/>
          </w:tcPr>
          <w:p>
            <w:pPr>
              <w:pStyle w:val="59"/>
            </w:pPr>
            <w:r>
              <w:t>300</w:t>
            </w:r>
          </w:p>
        </w:tc>
        <w:tc>
          <w:tcPr>
            <w:tcW w:w="2841" w:type="dxa"/>
            <w:vAlign w:val="center"/>
          </w:tcPr>
          <w:p>
            <w:pPr>
              <w:pStyle w:val="59"/>
            </w:pPr>
            <w:r>
              <w:t>300</w:t>
            </w:r>
          </w:p>
        </w:tc>
      </w:tr>
    </w:tbl>
    <w:p>
      <w:pPr>
        <w:pStyle w:val="4"/>
      </w:pPr>
      <w:bookmarkStart w:id="398" w:name="_Toc77763590"/>
      <w:bookmarkStart w:id="399" w:name="_Toc104109531"/>
      <w:r>
        <w:rPr>
          <w:rFonts w:hint="eastAsia"/>
        </w:rPr>
        <w:t>当有危险事故征兆时，应及时跟踪监测。</w:t>
      </w:r>
      <w:bookmarkEnd w:id="398"/>
      <w:bookmarkEnd w:id="399"/>
    </w:p>
    <w:p>
      <w:pPr>
        <w:pStyle w:val="4"/>
      </w:pPr>
      <w:bookmarkStart w:id="400" w:name="_Toc77763591"/>
      <w:bookmarkStart w:id="401" w:name="_Toc104109532"/>
      <w:r>
        <w:rPr>
          <w:rFonts w:hint="eastAsia"/>
        </w:rPr>
        <w:t>沉井工程周边环境监测包括周边邻近建</w:t>
      </w:r>
      <w:r>
        <w:t>(</w:t>
      </w:r>
      <w:r>
        <w:rPr>
          <w:rFonts w:hint="eastAsia"/>
        </w:rPr>
        <w:t>构</w:t>
      </w:r>
      <w:r>
        <w:t>)</w:t>
      </w:r>
      <w:r>
        <w:rPr>
          <w:rFonts w:hint="eastAsia"/>
        </w:rPr>
        <w:t>筑物、地下管线及地表的监测。</w:t>
      </w:r>
      <w:bookmarkEnd w:id="400"/>
      <w:bookmarkEnd w:id="401"/>
    </w:p>
    <w:p>
      <w:pPr>
        <w:pStyle w:val="4"/>
      </w:pPr>
      <w:bookmarkStart w:id="402" w:name="_Toc77763592"/>
      <w:bookmarkStart w:id="403" w:name="_Toc104109533"/>
      <w:r>
        <w:rPr>
          <w:rFonts w:hint="eastAsia"/>
        </w:rPr>
        <w:t>周边环境监测点应根据沉井监测等级、周边临近建</w:t>
      </w:r>
      <w:r>
        <w:t>(</w:t>
      </w:r>
      <w:r>
        <w:rPr>
          <w:rFonts w:hint="eastAsia"/>
        </w:rPr>
        <w:t>构</w:t>
      </w:r>
      <w:r>
        <w:t>)</w:t>
      </w:r>
      <w:r>
        <w:rPr>
          <w:rFonts w:hint="eastAsia"/>
        </w:rPr>
        <w:t>筑物性质、地下管线现状等确定。</w:t>
      </w:r>
      <w:bookmarkEnd w:id="402"/>
      <w:bookmarkEnd w:id="403"/>
    </w:p>
    <w:p>
      <w:pPr>
        <w:pStyle w:val="4"/>
      </w:pPr>
      <w:bookmarkStart w:id="404" w:name="_Toc77763593"/>
      <w:bookmarkStart w:id="405" w:name="_Toc104109534"/>
      <w:r>
        <w:rPr>
          <w:rFonts w:hint="eastAsia"/>
        </w:rPr>
        <w:t>周边环境监测项目的报警值应根据监测对象的主管部门的要求确定，当无明确要求时，可参考表</w:t>
      </w:r>
      <w:r>
        <w:t>6.2.8</w:t>
      </w:r>
      <w:r>
        <w:rPr>
          <w:rFonts w:hint="eastAsia"/>
        </w:rPr>
        <w:t>采用。</w:t>
      </w:r>
      <w:bookmarkEnd w:id="404"/>
      <w:bookmarkEnd w:id="405"/>
    </w:p>
    <w:p>
      <w:pPr>
        <w:pStyle w:val="8"/>
        <w:ind w:firstLine="420"/>
        <w:rPr>
          <w:b w:val="0"/>
        </w:rPr>
      </w:pPr>
      <w:r>
        <w:rPr>
          <w:rFonts w:hint="eastAsia"/>
          <w:b w:val="0"/>
        </w:rPr>
        <w:t>表6</w:t>
      </w:r>
      <w:r>
        <w:rPr>
          <w:b w:val="0"/>
        </w:rPr>
        <w:t xml:space="preserve">.2.8 </w:t>
      </w:r>
      <w:r>
        <w:rPr>
          <w:rFonts w:hint="eastAsia"/>
          <w:b w:val="0"/>
        </w:rPr>
        <w:t>周边环境监控报警值</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1884"/>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376" w:type="dxa"/>
            <w:tcBorders>
              <w:tl2br w:val="single" w:color="auto" w:sz="4" w:space="0"/>
            </w:tcBorders>
          </w:tcPr>
          <w:p>
            <w:pPr>
              <w:pStyle w:val="59"/>
            </w:pPr>
            <w:r>
              <w:t xml:space="preserve">           </w:t>
            </w:r>
            <w:r>
              <w:rPr>
                <w:rFonts w:hint="eastAsia"/>
              </w:rPr>
              <w:t>项目</w:t>
            </w:r>
          </w:p>
          <w:p>
            <w:pPr>
              <w:pStyle w:val="59"/>
            </w:pPr>
            <w:r>
              <w:rPr>
                <w:rFonts w:hint="eastAsia"/>
              </w:rPr>
              <w:t>监测对象</w:t>
            </w:r>
          </w:p>
        </w:tc>
        <w:tc>
          <w:tcPr>
            <w:tcW w:w="1884" w:type="dxa"/>
          </w:tcPr>
          <w:p>
            <w:pPr>
              <w:pStyle w:val="59"/>
            </w:pPr>
            <w:r>
              <w:rPr>
                <w:rFonts w:hint="eastAsia"/>
              </w:rPr>
              <w:t>变化速率（</w:t>
            </w:r>
            <w:r>
              <w:t>mm/d</w:t>
            </w:r>
            <w:r>
              <w:rPr>
                <w:rFonts w:hint="eastAsia"/>
              </w:rPr>
              <w:t>）</w:t>
            </w:r>
          </w:p>
        </w:tc>
        <w:tc>
          <w:tcPr>
            <w:tcW w:w="2131" w:type="dxa"/>
          </w:tcPr>
          <w:p>
            <w:pPr>
              <w:pStyle w:val="59"/>
            </w:pPr>
            <w:r>
              <w:rPr>
                <w:rFonts w:hint="eastAsia"/>
              </w:rPr>
              <w:t>累计值（</w:t>
            </w:r>
            <w:r>
              <w:t>mm</w:t>
            </w:r>
            <w:r>
              <w:rPr>
                <w:rFonts w:hint="eastAsia"/>
              </w:rPr>
              <w:t>）</w:t>
            </w:r>
          </w:p>
        </w:tc>
        <w:tc>
          <w:tcPr>
            <w:tcW w:w="2131" w:type="dxa"/>
          </w:tcPr>
          <w:p>
            <w:pPr>
              <w:pStyle w:val="59"/>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pStyle w:val="59"/>
            </w:pPr>
            <w:r>
              <w:rPr>
                <w:rFonts w:hint="eastAsia"/>
              </w:rPr>
              <w:t>煤气、供水管线位移</w:t>
            </w:r>
          </w:p>
        </w:tc>
        <w:tc>
          <w:tcPr>
            <w:tcW w:w="1884" w:type="dxa"/>
            <w:vAlign w:val="center"/>
          </w:tcPr>
          <w:p>
            <w:pPr>
              <w:pStyle w:val="59"/>
            </w:pPr>
            <w:r>
              <w:t>2</w:t>
            </w:r>
          </w:p>
        </w:tc>
        <w:tc>
          <w:tcPr>
            <w:tcW w:w="2131" w:type="dxa"/>
            <w:vAlign w:val="center"/>
          </w:tcPr>
          <w:p>
            <w:pPr>
              <w:pStyle w:val="59"/>
            </w:pPr>
            <w:r>
              <w:t>10</w:t>
            </w:r>
          </w:p>
        </w:tc>
        <w:tc>
          <w:tcPr>
            <w:tcW w:w="2131" w:type="dxa"/>
            <w:vAlign w:val="center"/>
          </w:tcPr>
          <w:p>
            <w:pPr>
              <w:pStyle w:val="59"/>
            </w:pPr>
            <w:r>
              <w:rPr>
                <w:rFonts w:hint="eastAsia"/>
              </w:rPr>
              <w:t>刚性管道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pStyle w:val="59"/>
            </w:pPr>
            <w:r>
              <w:rPr>
                <w:rFonts w:hint="eastAsia"/>
              </w:rPr>
              <w:t>电缆、通讯管线位移</w:t>
            </w:r>
          </w:p>
        </w:tc>
        <w:tc>
          <w:tcPr>
            <w:tcW w:w="1884" w:type="dxa"/>
            <w:vAlign w:val="center"/>
          </w:tcPr>
          <w:p>
            <w:pPr>
              <w:pStyle w:val="59"/>
            </w:pPr>
            <w:r>
              <w:t>5</w:t>
            </w:r>
          </w:p>
        </w:tc>
        <w:tc>
          <w:tcPr>
            <w:tcW w:w="2131" w:type="dxa"/>
            <w:vAlign w:val="center"/>
          </w:tcPr>
          <w:p>
            <w:pPr>
              <w:pStyle w:val="59"/>
            </w:pPr>
            <w:r>
              <w:t>10</w:t>
            </w:r>
          </w:p>
        </w:tc>
        <w:tc>
          <w:tcPr>
            <w:tcW w:w="2131" w:type="dxa"/>
            <w:vAlign w:val="center"/>
          </w:tcPr>
          <w:p>
            <w:pPr>
              <w:pStyle w:val="59"/>
            </w:pPr>
            <w:r>
              <w:rPr>
                <w:rFonts w:hint="eastAsia"/>
              </w:rPr>
              <w:t>柔性管道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pStyle w:val="59"/>
            </w:pPr>
            <w:r>
              <w:rPr>
                <w:rFonts w:hint="eastAsia"/>
              </w:rPr>
              <w:t>地下水水位变化</w:t>
            </w:r>
          </w:p>
        </w:tc>
        <w:tc>
          <w:tcPr>
            <w:tcW w:w="1884" w:type="dxa"/>
            <w:vAlign w:val="center"/>
          </w:tcPr>
          <w:p>
            <w:pPr>
              <w:pStyle w:val="59"/>
            </w:pPr>
            <w:r>
              <w:t>300</w:t>
            </w:r>
          </w:p>
        </w:tc>
        <w:tc>
          <w:tcPr>
            <w:tcW w:w="2131" w:type="dxa"/>
            <w:vAlign w:val="center"/>
          </w:tcPr>
          <w:p>
            <w:pPr>
              <w:pStyle w:val="59"/>
            </w:pPr>
            <w:r>
              <w:t>1000</w:t>
            </w:r>
          </w:p>
        </w:tc>
        <w:tc>
          <w:tcPr>
            <w:tcW w:w="2131" w:type="dxa"/>
            <w:vAlign w:val="center"/>
          </w:tcPr>
          <w:p>
            <w:pPr>
              <w:pStyle w:val="5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pStyle w:val="59"/>
            </w:pPr>
            <w:r>
              <w:rPr>
                <w:rFonts w:hint="eastAsia"/>
              </w:rPr>
              <w:t>邻近建（构）筑物位移</w:t>
            </w:r>
          </w:p>
        </w:tc>
        <w:tc>
          <w:tcPr>
            <w:tcW w:w="1884" w:type="dxa"/>
            <w:vAlign w:val="center"/>
          </w:tcPr>
          <w:p>
            <w:pPr>
              <w:pStyle w:val="59"/>
            </w:pPr>
            <w:r>
              <w:t>1~3</w:t>
            </w:r>
          </w:p>
        </w:tc>
        <w:tc>
          <w:tcPr>
            <w:tcW w:w="2131" w:type="dxa"/>
            <w:vAlign w:val="center"/>
          </w:tcPr>
          <w:p>
            <w:pPr>
              <w:pStyle w:val="59"/>
            </w:pPr>
            <w:r>
              <w:t>20~60</w:t>
            </w:r>
          </w:p>
        </w:tc>
        <w:tc>
          <w:tcPr>
            <w:tcW w:w="2131" w:type="dxa"/>
            <w:vAlign w:val="center"/>
          </w:tcPr>
          <w:p>
            <w:pPr>
              <w:pStyle w:val="59"/>
            </w:pPr>
            <w:r>
              <w:rPr>
                <w:rFonts w:hint="eastAsia"/>
              </w:rPr>
              <w:t>根据建构筑物对变形的适应能力确定</w:t>
            </w:r>
          </w:p>
        </w:tc>
      </w:tr>
    </w:tbl>
    <w:p>
      <w:pPr>
        <w:pStyle w:val="3"/>
        <w:spacing w:before="312"/>
      </w:pPr>
      <w:bookmarkStart w:id="406" w:name="_Toc71191297"/>
      <w:bookmarkEnd w:id="406"/>
      <w:bookmarkStart w:id="407" w:name="_Toc71191914"/>
      <w:bookmarkEnd w:id="407"/>
      <w:bookmarkStart w:id="408" w:name="_Toc71191299"/>
      <w:bookmarkEnd w:id="408"/>
      <w:bookmarkStart w:id="409" w:name="_Toc71191913"/>
      <w:bookmarkEnd w:id="409"/>
      <w:bookmarkStart w:id="410" w:name="_Toc71191302"/>
      <w:bookmarkEnd w:id="410"/>
      <w:bookmarkStart w:id="411" w:name="_Toc71191910"/>
      <w:bookmarkEnd w:id="411"/>
      <w:bookmarkStart w:id="412" w:name="_Toc71191300"/>
      <w:bookmarkEnd w:id="412"/>
      <w:bookmarkStart w:id="413" w:name="_Toc71191911"/>
      <w:bookmarkEnd w:id="413"/>
      <w:bookmarkStart w:id="414" w:name="_Toc71191912"/>
      <w:bookmarkEnd w:id="414"/>
      <w:bookmarkStart w:id="415" w:name="_Toc71191908"/>
      <w:bookmarkEnd w:id="415"/>
      <w:bookmarkStart w:id="416" w:name="_Toc71191909"/>
      <w:bookmarkEnd w:id="416"/>
      <w:bookmarkStart w:id="417" w:name="_Toc71191296"/>
      <w:bookmarkEnd w:id="417"/>
      <w:bookmarkStart w:id="418" w:name="_Toc71191298"/>
      <w:bookmarkEnd w:id="418"/>
      <w:bookmarkStart w:id="419" w:name="_Toc71191301"/>
      <w:bookmarkEnd w:id="419"/>
      <w:bookmarkStart w:id="420" w:name="_Toc112317340"/>
      <w:r>
        <w:rPr>
          <w:rFonts w:hint="eastAsia"/>
        </w:rPr>
        <w:t>监测报告</w:t>
      </w:r>
      <w:bookmarkEnd w:id="420"/>
    </w:p>
    <w:p>
      <w:pPr>
        <w:pStyle w:val="4"/>
      </w:pPr>
      <w:bookmarkStart w:id="421" w:name="_Toc104109536"/>
      <w:bookmarkStart w:id="422" w:name="_Toc77763595"/>
      <w:r>
        <w:rPr>
          <w:rFonts w:hint="eastAsia"/>
        </w:rPr>
        <w:t>监测资料包括监测过程中提供的监测日报表、监测中间报告和最终监测报告。</w:t>
      </w:r>
      <w:bookmarkEnd w:id="421"/>
      <w:bookmarkEnd w:id="422"/>
    </w:p>
    <w:p>
      <w:pPr>
        <w:pStyle w:val="4"/>
      </w:pPr>
      <w:bookmarkStart w:id="423" w:name="_Toc77763596"/>
      <w:bookmarkStart w:id="424" w:name="_Toc104109537"/>
      <w:r>
        <w:rPr>
          <w:rFonts w:hint="eastAsia"/>
        </w:rPr>
        <w:t>监测的初始记录和监测数据应详细完整，数据处理应认真计算整理、仔细校核，并应及时提交当日报表，施工周期较长时尚应提供阶段性报告；在报表和报告中应反映施工工况和报警值，并进行综合分析判断，及时提出工程建议。</w:t>
      </w:r>
      <w:bookmarkEnd w:id="423"/>
      <w:bookmarkEnd w:id="424"/>
    </w:p>
    <w:p>
      <w:pPr>
        <w:pStyle w:val="4"/>
      </w:pPr>
      <w:bookmarkStart w:id="425" w:name="_Toc77763597"/>
      <w:bookmarkStart w:id="426" w:name="_Toc104109538"/>
      <w:r>
        <w:rPr>
          <w:rFonts w:hint="eastAsia"/>
        </w:rPr>
        <w:t>成果文件中提供的数据、图表应客观、真实、准确；成果文件应标识工程名称、工程编号、编写单位、提交报告日期等。</w:t>
      </w:r>
      <w:bookmarkEnd w:id="425"/>
      <w:bookmarkEnd w:id="426"/>
    </w:p>
    <w:p>
      <w:pPr>
        <w:pStyle w:val="4"/>
      </w:pPr>
      <w:bookmarkStart w:id="427" w:name="_Toc77763598"/>
      <w:bookmarkStart w:id="428" w:name="_Toc104109539"/>
      <w:r>
        <w:rPr>
          <w:rFonts w:hint="eastAsia"/>
        </w:rPr>
        <w:t>当监测值达到报警指标或出现危险事故征兆时，应及时通报各方及有关部门，协商处理。</w:t>
      </w:r>
      <w:bookmarkEnd w:id="427"/>
      <w:bookmarkEnd w:id="428"/>
    </w:p>
    <w:p>
      <w:pPr>
        <w:pStyle w:val="4"/>
      </w:pPr>
      <w:bookmarkStart w:id="429" w:name="_Toc77763599"/>
      <w:bookmarkStart w:id="430" w:name="_Toc104109540"/>
      <w:r>
        <w:rPr>
          <w:rFonts w:hint="eastAsia"/>
        </w:rPr>
        <w:t>监测结束后应编写完整监测报告，其内容包括</w:t>
      </w:r>
      <w:bookmarkEnd w:id="429"/>
      <w:r>
        <w:rPr>
          <w:rFonts w:hint="eastAsia"/>
        </w:rPr>
        <w:t>：</w:t>
      </w:r>
      <w:bookmarkEnd w:id="430"/>
    </w:p>
    <w:p>
      <w:pPr>
        <w:pStyle w:val="5"/>
        <w:ind w:firstLine="480"/>
      </w:pPr>
      <w:r>
        <w:rPr>
          <w:rFonts w:hint="eastAsia"/>
        </w:rPr>
        <w:t>工程概况；</w:t>
      </w:r>
    </w:p>
    <w:p>
      <w:pPr>
        <w:pStyle w:val="5"/>
        <w:ind w:firstLine="480"/>
        <w:jc w:val="left"/>
      </w:pPr>
      <w:r>
        <w:rPr>
          <w:rFonts w:hint="eastAsia"/>
        </w:rPr>
        <w:t>监测依据；</w:t>
      </w:r>
    </w:p>
    <w:p>
      <w:pPr>
        <w:pStyle w:val="5"/>
        <w:ind w:firstLine="480"/>
        <w:jc w:val="left"/>
      </w:pPr>
      <w:r>
        <w:rPr>
          <w:rFonts w:hint="eastAsia"/>
        </w:rPr>
        <w:t>监测项目；</w:t>
      </w:r>
    </w:p>
    <w:p>
      <w:pPr>
        <w:pStyle w:val="5"/>
        <w:ind w:firstLine="480"/>
        <w:jc w:val="left"/>
      </w:pPr>
      <w:r>
        <w:rPr>
          <w:rFonts w:hint="eastAsia"/>
        </w:rPr>
        <w:t>测点布置；</w:t>
      </w:r>
    </w:p>
    <w:p>
      <w:pPr>
        <w:pStyle w:val="5"/>
        <w:ind w:firstLine="480"/>
        <w:jc w:val="left"/>
      </w:pPr>
      <w:r>
        <w:rPr>
          <w:rFonts w:hint="eastAsia"/>
        </w:rPr>
        <w:t>检查的设备和监测方法；</w:t>
      </w:r>
    </w:p>
    <w:p>
      <w:pPr>
        <w:pStyle w:val="5"/>
        <w:ind w:firstLine="480"/>
        <w:jc w:val="left"/>
      </w:pPr>
      <w:r>
        <w:rPr>
          <w:rFonts w:hint="eastAsia"/>
        </w:rPr>
        <w:t>监测频率；</w:t>
      </w:r>
    </w:p>
    <w:p>
      <w:pPr>
        <w:pStyle w:val="5"/>
        <w:ind w:firstLine="480"/>
        <w:jc w:val="left"/>
      </w:pPr>
      <w:r>
        <w:rPr>
          <w:rFonts w:hint="eastAsia"/>
        </w:rPr>
        <w:t>监测报警值；</w:t>
      </w:r>
    </w:p>
    <w:p>
      <w:pPr>
        <w:pStyle w:val="5"/>
        <w:ind w:firstLine="480"/>
        <w:jc w:val="left"/>
      </w:pPr>
      <w:r>
        <w:rPr>
          <w:rFonts w:hint="eastAsia"/>
        </w:rPr>
        <w:t>监测项目全过程的发展变化分析及整体评述；</w:t>
      </w:r>
    </w:p>
    <w:p>
      <w:pPr>
        <w:pStyle w:val="5"/>
        <w:ind w:firstLine="480"/>
        <w:jc w:val="left"/>
      </w:pPr>
      <w:r>
        <w:rPr>
          <w:rFonts w:hint="eastAsia"/>
        </w:rPr>
        <w:t>监测工作结论与建议。</w:t>
      </w:r>
    </w:p>
    <w:p>
      <w:pPr>
        <w:pStyle w:val="4"/>
      </w:pPr>
      <w:bookmarkStart w:id="431" w:name="_Toc77763600"/>
      <w:bookmarkStart w:id="432" w:name="_Toc104109541"/>
      <w:r>
        <w:rPr>
          <w:rFonts w:hint="eastAsia"/>
        </w:rPr>
        <w:t>沉井下沉测量与记录</w:t>
      </w:r>
      <w:bookmarkEnd w:id="431"/>
      <w:bookmarkEnd w:id="432"/>
    </w:p>
    <w:p>
      <w:pPr>
        <w:pStyle w:val="5"/>
        <w:ind w:firstLine="480"/>
      </w:pPr>
      <w:r>
        <w:rPr>
          <w:rFonts w:hint="eastAsia"/>
        </w:rPr>
        <w:t>测量内容：沉井倾斜、位移、下沉量，刃脚标高及沉井外河床标高，导向船与墩旁吊机所在处的河床变化；</w:t>
      </w:r>
    </w:p>
    <w:p>
      <w:pPr>
        <w:pStyle w:val="5"/>
        <w:ind w:firstLine="480"/>
      </w:pPr>
      <w:r>
        <w:rPr>
          <w:rFonts w:hint="eastAsia"/>
        </w:rPr>
        <w:t>记录内容：沉井入水深度，沉井刃脚标高，施工水位、射水或吸泥时间、井孔内泥面标高、潜水检查结果、沉井下沉曲线和倾斜曲线；</w:t>
      </w:r>
    </w:p>
    <w:p>
      <w:pPr>
        <w:pStyle w:val="5"/>
        <w:ind w:firstLine="480"/>
      </w:pPr>
      <w:r>
        <w:rPr>
          <w:rFonts w:hint="eastAsia"/>
        </w:rPr>
        <w:t>沉井测量工作每天最少一次，当沉井下沉发生困难时，井孔内泥面标高的测量次数应增加，以指导取土施工。</w:t>
      </w:r>
    </w:p>
    <w:p>
      <w:pPr>
        <w:ind w:firstLine="480"/>
      </w:pPr>
    </w:p>
    <w:p>
      <w:pPr>
        <w:ind w:firstLine="480"/>
      </w:pPr>
    </w:p>
    <w:p>
      <w:pPr>
        <w:widowControl/>
        <w:spacing w:line="240" w:lineRule="auto"/>
        <w:ind w:firstLine="480"/>
        <w:jc w:val="left"/>
        <w:rPr>
          <w:rFonts w:eastAsia="宋体" w:cs="Times New Roman"/>
          <w:szCs w:val="24"/>
        </w:rPr>
      </w:pPr>
      <w:r>
        <w:rPr>
          <w:rFonts w:eastAsia="宋体" w:cs="Times New Roman"/>
          <w:szCs w:val="24"/>
        </w:rPr>
        <w:br w:type="page"/>
      </w:r>
    </w:p>
    <w:p>
      <w:pPr>
        <w:pStyle w:val="2"/>
        <w:numPr>
          <w:ilvl w:val="0"/>
          <w:numId w:val="0"/>
        </w:numPr>
      </w:pPr>
      <w:bookmarkStart w:id="433" w:name="_Toc112317341"/>
      <w:r>
        <w:rPr>
          <w:rFonts w:hint="eastAsia"/>
        </w:rPr>
        <w:t>用词说明</w:t>
      </w:r>
      <w:bookmarkEnd w:id="433"/>
    </w:p>
    <w:p>
      <w:pPr>
        <w:widowControl/>
        <w:ind w:firstLine="480"/>
        <w:jc w:val="left"/>
        <w:rPr>
          <w:rFonts w:eastAsia="宋体" w:cs="Times New Roman"/>
          <w:szCs w:val="24"/>
        </w:rPr>
      </w:pPr>
      <w:r>
        <w:rPr>
          <w:rStyle w:val="76"/>
          <w:rFonts w:hint="eastAsia"/>
        </w:rPr>
        <w:t>标准规程，执行严格程度的用词，采用下列写</w:t>
      </w:r>
      <w:r>
        <w:rPr>
          <w:rFonts w:hint="eastAsia" w:eastAsia="宋体" w:cs="Times New Roman"/>
          <w:szCs w:val="24"/>
        </w:rPr>
        <w:t>法：</w:t>
      </w:r>
    </w:p>
    <w:p>
      <w:pPr>
        <w:pStyle w:val="5"/>
        <w:numPr>
          <w:ilvl w:val="0"/>
          <w:numId w:val="0"/>
        </w:numPr>
        <w:ind w:firstLine="482" w:firstLineChars="200"/>
        <w:rPr>
          <w:rFonts w:eastAsia="宋体" w:cs="Times New Roman"/>
          <w:szCs w:val="24"/>
        </w:rPr>
      </w:pPr>
      <w:r>
        <w:rPr>
          <w:b/>
          <w:bCs w:val="0"/>
        </w:rPr>
        <w:t>1</w:t>
      </w:r>
      <w:r>
        <w:t xml:space="preserve">  </w:t>
      </w:r>
      <w:r>
        <w:rPr>
          <w:rFonts w:hint="eastAsia"/>
        </w:rPr>
        <w:t>为便于在执行本规范条文时区别对待，对要求严格程度不同的用词说明如</w:t>
      </w:r>
      <w:r>
        <w:rPr>
          <w:rFonts w:hint="eastAsia" w:eastAsia="宋体" w:cs="Times New Roman"/>
          <w:szCs w:val="24"/>
        </w:rPr>
        <w:t>下：</w:t>
      </w:r>
      <w:r>
        <w:rPr>
          <w:rFonts w:eastAsia="宋体" w:cs="Times New Roman"/>
          <w:szCs w:val="24"/>
        </w:rPr>
        <w:t xml:space="preserve"> </w:t>
      </w:r>
    </w:p>
    <w:p>
      <w:pPr>
        <w:pStyle w:val="6"/>
        <w:ind w:left="960" w:hanging="480"/>
      </w:pPr>
      <w:r>
        <w:rPr>
          <w:rFonts w:hint="eastAsia"/>
        </w:rPr>
        <w:t>表示严格，在正常情况下均应这样做的用词，正面词采用“应”，反面词采用“不应”或“不得”。</w:t>
      </w:r>
    </w:p>
    <w:p>
      <w:pPr>
        <w:pStyle w:val="6"/>
        <w:ind w:left="960" w:hanging="480"/>
      </w:pPr>
      <w:r>
        <w:rPr>
          <w:rFonts w:hint="eastAsia"/>
        </w:rPr>
        <w:t>表示允许稍有选择，在条件许可时首先应这样做的用词，正面词采用“宜”，反面词采用“不宜”。</w:t>
      </w:r>
    </w:p>
    <w:p>
      <w:pPr>
        <w:pStyle w:val="6"/>
        <w:ind w:left="960" w:hanging="480"/>
      </w:pPr>
      <w:r>
        <w:rPr>
          <w:rFonts w:hint="eastAsia"/>
        </w:rPr>
        <w:t>表示有选择，在一定条件下可以这样做的用词，采用“可”。</w:t>
      </w:r>
    </w:p>
    <w:p>
      <w:pPr>
        <w:pStyle w:val="5"/>
        <w:numPr>
          <w:ilvl w:val="0"/>
          <w:numId w:val="0"/>
        </w:numPr>
        <w:ind w:firstLine="482" w:firstLineChars="200"/>
      </w:pPr>
      <w:r>
        <w:rPr>
          <w:b/>
          <w:bCs w:val="0"/>
        </w:rPr>
        <w:t>2</w:t>
      </w:r>
      <w:r>
        <w:t xml:space="preserve"> </w:t>
      </w:r>
      <w:r>
        <w:rPr>
          <w:rFonts w:hint="eastAsia"/>
        </w:rPr>
        <w:t>引用标准的用语采用下列写法：</w:t>
      </w:r>
    </w:p>
    <w:p>
      <w:pPr>
        <w:pStyle w:val="6"/>
        <w:numPr>
          <w:ilvl w:val="4"/>
          <w:numId w:val="2"/>
        </w:numPr>
        <w:ind w:left="960" w:hanging="480"/>
      </w:pPr>
      <w:r>
        <w:rPr>
          <w:rFonts w:hint="eastAsia"/>
        </w:rPr>
        <w:t>在标准条文及其他规定中，当引用的标准为国家标准或行业标准时，应表述为“应符合×××××的有关规定”。</w:t>
      </w:r>
    </w:p>
    <w:p>
      <w:pPr>
        <w:pStyle w:val="6"/>
        <w:ind w:left="960" w:hanging="480"/>
        <w:sectPr>
          <w:pgSz w:w="11906" w:h="16838"/>
          <w:pgMar w:top="1440" w:right="1800" w:bottom="1440" w:left="1800" w:header="851" w:footer="992" w:gutter="0"/>
          <w:cols w:space="425" w:num="1"/>
          <w:docGrid w:type="lines" w:linePitch="312" w:charSpace="0"/>
        </w:sectPr>
      </w:pPr>
      <w:r>
        <w:rPr>
          <w:rFonts w:hint="eastAsia"/>
        </w:rPr>
        <w:t>当引用标准中的其他规定时，应表述为“应符合本规程第×章的有关规定”“应符合本规程第×</w:t>
      </w:r>
      <w:r>
        <w:t>.</w:t>
      </w:r>
      <w:r>
        <w:rPr>
          <w:rFonts w:hint="eastAsia"/>
        </w:rPr>
        <w:t>×节的有关规定”“应按本规程第×</w:t>
      </w:r>
      <w:r>
        <w:t>.</w:t>
      </w:r>
      <w:r>
        <w:rPr>
          <w:rFonts w:hint="eastAsia"/>
        </w:rPr>
        <w:t>×</w:t>
      </w:r>
      <w:r>
        <w:t>.</w:t>
      </w:r>
      <w:r>
        <w:rPr>
          <w:rFonts w:hint="eastAsia"/>
        </w:rPr>
        <w:t>×条的有关规定执行”。</w:t>
      </w:r>
    </w:p>
    <w:p>
      <w:pPr>
        <w:widowControl/>
        <w:adjustRightInd w:val="0"/>
        <w:snapToGrid w:val="0"/>
        <w:spacing w:before="312" w:beforeLines="100" w:after="312" w:afterLines="100" w:line="400" w:lineRule="exact"/>
        <w:ind w:firstLine="480"/>
        <w:rPr>
          <w:rFonts w:eastAsia="黑体" w:cs="Times New Roman"/>
          <w:szCs w:val="21"/>
        </w:rPr>
      </w:pPr>
    </w:p>
    <w:p>
      <w:pPr>
        <w:widowControl/>
        <w:adjustRightInd w:val="0"/>
        <w:snapToGrid w:val="0"/>
        <w:spacing w:before="312" w:beforeLines="100" w:after="312" w:afterLines="100" w:line="400" w:lineRule="exact"/>
        <w:ind w:firstLine="0" w:firstLineChars="0"/>
        <w:jc w:val="center"/>
        <w:rPr>
          <w:rFonts w:eastAsia="黑体" w:cs="Times New Roman"/>
          <w:bCs/>
          <w:sz w:val="36"/>
          <w:szCs w:val="36"/>
        </w:rPr>
      </w:pPr>
      <w:r>
        <w:rPr>
          <w:rFonts w:hint="eastAsia" w:eastAsia="黑体" w:cs="Times New Roman"/>
          <w:bCs/>
          <w:sz w:val="36"/>
          <w:szCs w:val="36"/>
        </w:rPr>
        <w:t>水中大型沉井基础施工技术规程</w:t>
      </w:r>
    </w:p>
    <w:p>
      <w:pPr>
        <w:widowControl/>
        <w:adjustRightInd w:val="0"/>
        <w:snapToGrid w:val="0"/>
        <w:spacing w:before="312" w:beforeLines="100" w:after="312" w:afterLines="100" w:line="400" w:lineRule="exact"/>
        <w:ind w:firstLine="560"/>
        <w:jc w:val="center"/>
        <w:rPr>
          <w:rFonts w:eastAsia="黑体" w:cs="Times New Roman"/>
          <w:sz w:val="28"/>
          <w:szCs w:val="24"/>
        </w:rPr>
      </w:pPr>
    </w:p>
    <w:p>
      <w:pPr>
        <w:widowControl/>
        <w:adjustRightInd w:val="0"/>
        <w:snapToGrid w:val="0"/>
        <w:spacing w:before="312" w:beforeLines="100" w:after="312" w:afterLines="100" w:line="400" w:lineRule="exact"/>
        <w:ind w:firstLine="560"/>
        <w:jc w:val="center"/>
        <w:rPr>
          <w:rFonts w:eastAsia="黑体" w:cs="Times New Roman"/>
          <w:sz w:val="28"/>
          <w:szCs w:val="24"/>
        </w:rPr>
      </w:pPr>
    </w:p>
    <w:p>
      <w:pPr>
        <w:widowControl/>
        <w:adjustRightInd w:val="0"/>
        <w:snapToGrid w:val="0"/>
        <w:spacing w:before="312" w:beforeLines="100" w:after="312" w:afterLines="100" w:line="400" w:lineRule="exact"/>
        <w:ind w:firstLine="0" w:firstLineChars="0"/>
        <w:jc w:val="center"/>
        <w:rPr>
          <w:rFonts w:cs="Times New Roman"/>
          <w:bCs/>
          <w:sz w:val="28"/>
          <w:szCs w:val="24"/>
        </w:rPr>
      </w:pPr>
      <w:r>
        <w:rPr>
          <w:rFonts w:eastAsia="黑体" w:cs="Times New Roman"/>
          <w:sz w:val="28"/>
          <w:szCs w:val="24"/>
        </w:rPr>
        <w:t>T/CHTS</w:t>
      </w:r>
      <w:r>
        <w:rPr>
          <w:rFonts w:cs="Times New Roman"/>
          <w:sz w:val="28"/>
          <w:szCs w:val="24"/>
        </w:rPr>
        <w:t xml:space="preserve"> </w:t>
      </w:r>
      <w:r>
        <w:rPr>
          <w:rFonts w:cs="Times New Roman"/>
          <w:bCs/>
          <w:sz w:val="28"/>
          <w:szCs w:val="24"/>
        </w:rPr>
        <w:t>10001-2021</w:t>
      </w:r>
    </w:p>
    <w:p>
      <w:pPr>
        <w:widowControl/>
        <w:adjustRightInd w:val="0"/>
        <w:snapToGrid w:val="0"/>
        <w:spacing w:before="312" w:beforeLines="100" w:after="312" w:afterLines="100" w:line="400" w:lineRule="exact"/>
        <w:ind w:firstLine="480"/>
        <w:jc w:val="center"/>
        <w:rPr>
          <w:rFonts w:cs="Times New Roman"/>
          <w:bCs/>
          <w:szCs w:val="24"/>
        </w:rPr>
      </w:pPr>
    </w:p>
    <w:p>
      <w:pPr>
        <w:widowControl/>
        <w:adjustRightInd w:val="0"/>
        <w:snapToGrid w:val="0"/>
        <w:spacing w:before="312" w:beforeLines="100" w:after="312" w:afterLines="100" w:line="400" w:lineRule="exact"/>
        <w:ind w:firstLine="480"/>
        <w:jc w:val="center"/>
        <w:rPr>
          <w:rFonts w:cs="Times New Roman"/>
          <w:bCs/>
          <w:szCs w:val="24"/>
        </w:rPr>
      </w:pPr>
    </w:p>
    <w:p>
      <w:pPr>
        <w:pStyle w:val="24"/>
        <w:ind w:firstLine="0" w:firstLineChars="0"/>
      </w:pPr>
      <w:bookmarkStart w:id="434" w:name="_Toc112317342"/>
      <w:r>
        <w:rPr>
          <w:rFonts w:hint="eastAsia"/>
        </w:rPr>
        <w:t>条文说明</w:t>
      </w:r>
      <w:bookmarkEnd w:id="434"/>
    </w:p>
    <w:p>
      <w:pPr>
        <w:widowControl/>
        <w:adjustRightInd w:val="0"/>
        <w:snapToGrid w:val="0"/>
        <w:spacing w:before="312" w:beforeLines="100" w:after="312" w:afterLines="100" w:line="400" w:lineRule="exact"/>
        <w:ind w:firstLine="480"/>
        <w:jc w:val="center"/>
        <w:rPr>
          <w:rFonts w:cs="Times New Roman"/>
          <w:bCs/>
          <w:szCs w:val="24"/>
        </w:rPr>
      </w:pPr>
    </w:p>
    <w:p>
      <w:pPr>
        <w:ind w:firstLine="480"/>
        <w:rPr>
          <w:rFonts w:eastAsia="宋体" w:cs="Times New Roman"/>
          <w:szCs w:val="24"/>
        </w:rPr>
        <w:sectPr>
          <w:pgSz w:w="11906" w:h="16838"/>
          <w:pgMar w:top="1440" w:right="1800" w:bottom="1440" w:left="1800" w:header="851" w:footer="992" w:gutter="0"/>
          <w:cols w:space="425" w:num="1"/>
          <w:docGrid w:type="lines" w:linePitch="312" w:charSpace="0"/>
        </w:sectPr>
      </w:pPr>
    </w:p>
    <w:p>
      <w:pPr>
        <w:pStyle w:val="2"/>
        <w:numPr>
          <w:ilvl w:val="0"/>
          <w:numId w:val="0"/>
        </w:numPr>
        <w:rPr>
          <w:rFonts w:eastAsiaTheme="minorEastAsia"/>
          <w:szCs w:val="28"/>
        </w:rPr>
      </w:pPr>
      <w:bookmarkStart w:id="435" w:name="_Toc112317343"/>
      <w:r>
        <w:rPr>
          <w:rFonts w:hint="eastAsia"/>
          <w:b/>
          <w:bCs w:val="0"/>
        </w:rPr>
        <w:t>1</w:t>
      </w:r>
      <w:r>
        <w:t xml:space="preserve"> </w:t>
      </w:r>
      <w:r>
        <w:rPr>
          <w:rFonts w:hint="eastAsia"/>
        </w:rPr>
        <w:t>总则</w:t>
      </w:r>
      <w:bookmarkEnd w:id="435"/>
    </w:p>
    <w:p>
      <w:pPr>
        <w:ind w:firstLine="0" w:firstLineChars="0"/>
        <w:rPr>
          <w:rFonts w:eastAsia="宋体" w:cs="Times New Roman"/>
          <w:szCs w:val="24"/>
        </w:rPr>
      </w:pPr>
      <w:r>
        <w:rPr>
          <w:rFonts w:eastAsia="宋体" w:cs="Times New Roman"/>
          <w:b/>
          <w:szCs w:val="24"/>
        </w:rPr>
        <w:t xml:space="preserve">1.0.1  </w:t>
      </w:r>
      <w:r>
        <w:rPr>
          <w:rFonts w:hint="eastAsia" w:eastAsia="宋体" w:cs="Times New Roman"/>
          <w:szCs w:val="24"/>
        </w:rPr>
        <w:t>大型沉井为截面面积大于</w:t>
      </w:r>
      <w:r>
        <w:rPr>
          <w:rFonts w:eastAsia="宋体" w:cs="Times New Roman"/>
          <w:szCs w:val="24"/>
        </w:rPr>
        <w:t>2000</w:t>
      </w:r>
      <w:r>
        <w:rPr>
          <w:rFonts w:hint="eastAsia" w:eastAsia="宋体" w:cs="Times New Roman"/>
          <w:szCs w:val="24"/>
        </w:rPr>
        <w:t>㎡且隔舱数量不少于</w:t>
      </w:r>
      <w:r>
        <w:rPr>
          <w:rFonts w:eastAsia="宋体" w:cs="Times New Roman"/>
          <w:szCs w:val="24"/>
        </w:rPr>
        <w:t>2</w:t>
      </w:r>
      <w:r>
        <w:rPr>
          <w:rFonts w:hint="eastAsia" w:eastAsia="宋体" w:cs="Times New Roman"/>
          <w:szCs w:val="24"/>
        </w:rPr>
        <w:t>个的沉井基础。</w:t>
      </w:r>
    </w:p>
    <w:p>
      <w:pPr>
        <w:ind w:firstLine="0" w:firstLineChars="0"/>
        <w:rPr>
          <w:rFonts w:eastAsia="宋体" w:cs="Times New Roman"/>
          <w:szCs w:val="24"/>
        </w:rPr>
      </w:pPr>
      <w:r>
        <w:rPr>
          <w:rFonts w:eastAsia="宋体" w:cs="Times New Roman"/>
          <w:b/>
          <w:szCs w:val="24"/>
        </w:rPr>
        <w:t xml:space="preserve">1.0.2  </w:t>
      </w:r>
      <w:r>
        <w:rPr>
          <w:rFonts w:hint="eastAsia" w:eastAsia="宋体" w:cs="Times New Roman"/>
          <w:szCs w:val="24"/>
        </w:rPr>
        <w:t>本规程主要适用于公路、铁路桥梁水中沉井基础工程。</w:t>
      </w:r>
    </w:p>
    <w:p>
      <w:pPr>
        <w:ind w:firstLine="0" w:firstLineChars="0"/>
        <w:rPr>
          <w:b/>
        </w:rPr>
      </w:pPr>
      <w:r>
        <w:rPr>
          <w:rFonts w:eastAsia="宋体" w:cs="Times New Roman"/>
          <w:b/>
          <w:bCs/>
          <w:szCs w:val="24"/>
        </w:rPr>
        <w:t xml:space="preserve">1.0.3  </w:t>
      </w:r>
      <w:r>
        <w:rPr>
          <w:rFonts w:hint="eastAsia" w:eastAsia="宋体" w:cs="Times New Roman"/>
          <w:szCs w:val="24"/>
        </w:rPr>
        <w:t>本规范根据现行国家标准《建筑结构可靠度设计统一标准》（</w:t>
      </w:r>
      <w:r>
        <w:rPr>
          <w:rFonts w:eastAsia="宋体" w:cs="Times New Roman"/>
          <w:szCs w:val="24"/>
        </w:rPr>
        <w:t>GB 50068</w:t>
      </w:r>
      <w:r>
        <w:rPr>
          <w:rFonts w:hint="eastAsia" w:eastAsia="宋体" w:cs="Times New Roman"/>
          <w:szCs w:val="24"/>
        </w:rPr>
        <w:t>）、《工程结构可靠性设计统一标准》（</w:t>
      </w:r>
      <w:r>
        <w:rPr>
          <w:rFonts w:eastAsia="宋体" w:cs="Times New Roman"/>
          <w:szCs w:val="24"/>
        </w:rPr>
        <w:t>GB 50153</w:t>
      </w:r>
      <w:r>
        <w:rPr>
          <w:rFonts w:hint="eastAsia" w:eastAsia="宋体" w:cs="Times New Roman"/>
          <w:szCs w:val="24"/>
        </w:rPr>
        <w:t>）规定的原则制定。符号和基本术语按照现行国家标准《工程结构设计通用符号标准》（</w:t>
      </w:r>
      <w:r>
        <w:rPr>
          <w:rFonts w:eastAsia="宋体" w:cs="Times New Roman"/>
          <w:szCs w:val="24"/>
        </w:rPr>
        <w:t>GB/T 50132</w:t>
      </w:r>
      <w:r>
        <w:rPr>
          <w:rFonts w:hint="eastAsia" w:eastAsia="宋体" w:cs="Times New Roman"/>
          <w:szCs w:val="24"/>
        </w:rPr>
        <w:t>）和《工程结构设计基本术语标准》（</w:t>
      </w:r>
      <w:r>
        <w:rPr>
          <w:rFonts w:eastAsia="宋体" w:cs="Times New Roman"/>
          <w:szCs w:val="24"/>
        </w:rPr>
        <w:t>GB/T 50083</w:t>
      </w:r>
      <w:r>
        <w:rPr>
          <w:rFonts w:hint="eastAsia" w:eastAsia="宋体" w:cs="Times New Roman"/>
          <w:szCs w:val="24"/>
        </w:rPr>
        <w:t>）的规定采用。</w:t>
      </w:r>
    </w:p>
    <w:p>
      <w:pPr>
        <w:ind w:firstLine="482"/>
        <w:jc w:val="left"/>
        <w:rPr>
          <w:rFonts w:eastAsia="宋体" w:cs="Times New Roman"/>
          <w:b/>
          <w:szCs w:val="24"/>
        </w:rPr>
      </w:pPr>
    </w:p>
    <w:p>
      <w:pPr>
        <w:ind w:firstLine="482"/>
        <w:jc w:val="left"/>
        <w:rPr>
          <w:rFonts w:eastAsia="宋体" w:cs="Times New Roman"/>
          <w:b/>
          <w:szCs w:val="24"/>
        </w:rPr>
        <w:sectPr>
          <w:footerReference r:id="rId16" w:type="default"/>
          <w:pgSz w:w="11906" w:h="16838"/>
          <w:pgMar w:top="1440" w:right="1800" w:bottom="1440" w:left="1800" w:header="851" w:footer="992" w:gutter="0"/>
          <w:cols w:space="425" w:num="1"/>
          <w:docGrid w:type="lines" w:linePitch="312" w:charSpace="0"/>
        </w:sectPr>
      </w:pPr>
    </w:p>
    <w:p>
      <w:pPr>
        <w:pStyle w:val="2"/>
        <w:numPr>
          <w:ilvl w:val="0"/>
          <w:numId w:val="0"/>
        </w:numPr>
      </w:pPr>
      <w:bookmarkStart w:id="436" w:name="_Toc112317344"/>
      <w:r>
        <w:rPr>
          <w:b/>
          <w:bCs w:val="0"/>
        </w:rPr>
        <w:t>3</w:t>
      </w:r>
      <w:r>
        <w:t xml:space="preserve"> </w:t>
      </w:r>
      <w:r>
        <w:rPr>
          <w:rFonts w:hint="eastAsia"/>
        </w:rPr>
        <w:t>基本规定</w:t>
      </w:r>
      <w:bookmarkEnd w:id="436"/>
    </w:p>
    <w:p>
      <w:pPr>
        <w:ind w:firstLine="0" w:firstLineChars="0"/>
        <w:rPr>
          <w:rFonts w:eastAsia="宋体" w:cs="Times New Roman"/>
          <w:szCs w:val="24"/>
        </w:rPr>
      </w:pPr>
      <w:r>
        <w:rPr>
          <w:rFonts w:eastAsia="宋体" w:cs="Times New Roman"/>
          <w:b/>
          <w:szCs w:val="24"/>
        </w:rPr>
        <w:t>3.0.2</w:t>
      </w:r>
      <w:r>
        <w:rPr>
          <w:rFonts w:cs="Times New Roman"/>
          <w:szCs w:val="24"/>
        </w:rPr>
        <w:t xml:space="preserve">  </w:t>
      </w:r>
      <w:r>
        <w:rPr>
          <w:rFonts w:hint="eastAsia" w:cs="Times New Roman"/>
        </w:rPr>
        <w:t>本条规定了在沉井施工前应准备的资料，</w:t>
      </w:r>
      <w:r>
        <w:rPr>
          <w:rFonts w:hint="eastAsia" w:cs="Times New Roman"/>
          <w:szCs w:val="24"/>
        </w:rPr>
        <w:t>需</w:t>
      </w:r>
      <w:r>
        <w:rPr>
          <w:rFonts w:hint="eastAsia" w:cs="Times New Roman"/>
        </w:rPr>
        <w:t>要进行现场调查研究，</w:t>
      </w:r>
      <w:r>
        <w:rPr>
          <w:rFonts w:hint="eastAsia" w:cs="Times New Roman"/>
          <w:szCs w:val="24"/>
        </w:rPr>
        <w:t>掌</w:t>
      </w:r>
      <w:r>
        <w:rPr>
          <w:rFonts w:hint="eastAsia" w:cs="Times New Roman"/>
        </w:rPr>
        <w:t>握施工区域内气象和岩土工程勘察情况，</w:t>
      </w:r>
      <w:r>
        <w:rPr>
          <w:rFonts w:hint="eastAsia" w:cs="Times New Roman"/>
          <w:szCs w:val="24"/>
        </w:rPr>
        <w:t>调</w:t>
      </w:r>
      <w:r>
        <w:rPr>
          <w:rFonts w:hint="eastAsia" w:cs="Times New Roman"/>
        </w:rPr>
        <w:t>查临近建</w:t>
      </w:r>
      <w:r>
        <w:rPr>
          <w:rFonts w:cs="Times New Roman"/>
          <w:szCs w:val="24"/>
        </w:rPr>
        <w:t>(</w:t>
      </w:r>
      <w:r>
        <w:rPr>
          <w:rFonts w:hint="eastAsia" w:cs="Times New Roman"/>
          <w:szCs w:val="24"/>
        </w:rPr>
        <w:t>构</w:t>
      </w:r>
      <w:r>
        <w:rPr>
          <w:rFonts w:cs="Times New Roman"/>
          <w:szCs w:val="24"/>
        </w:rPr>
        <w:t>)</w:t>
      </w:r>
      <w:r>
        <w:rPr>
          <w:rFonts w:hint="eastAsia" w:cs="Times New Roman"/>
          <w:szCs w:val="24"/>
        </w:rPr>
        <w:t>筑</w:t>
      </w:r>
      <w:r>
        <w:rPr>
          <w:rFonts w:hint="eastAsia" w:cs="Times New Roman"/>
        </w:rPr>
        <w:t>物、地下管线和其他地下障碍物等相关资料，</w:t>
      </w:r>
      <w:r>
        <w:rPr>
          <w:rFonts w:hint="eastAsia" w:cs="Times New Roman"/>
          <w:szCs w:val="24"/>
        </w:rPr>
        <w:t>同</w:t>
      </w:r>
      <w:r>
        <w:rPr>
          <w:rFonts w:hint="eastAsia" w:cs="Times New Roman"/>
        </w:rPr>
        <w:t>时要完成施工组织设计和现场的准备工作。施工现场准备工作的主要内容是：</w:t>
      </w:r>
      <w:r>
        <w:rPr>
          <w:rFonts w:hint="eastAsia" w:cs="Times New Roman"/>
          <w:szCs w:val="24"/>
        </w:rPr>
        <w:t>施</w:t>
      </w:r>
      <w:r>
        <w:rPr>
          <w:rFonts w:hint="eastAsia" w:cs="Times New Roman"/>
        </w:rPr>
        <w:t>工场地的障碍物处理及“三通一平”。即：</w:t>
      </w:r>
      <w:r>
        <w:rPr>
          <w:rFonts w:hint="eastAsia" w:cs="Times New Roman"/>
          <w:szCs w:val="24"/>
        </w:rPr>
        <w:t>水</w:t>
      </w:r>
      <w:r>
        <w:rPr>
          <w:rFonts w:hint="eastAsia" w:cs="Times New Roman"/>
        </w:rPr>
        <w:t>通、电通、道路通及场地平整。</w:t>
      </w:r>
    </w:p>
    <w:p>
      <w:pPr>
        <w:autoSpaceDE w:val="0"/>
        <w:autoSpaceDN w:val="0"/>
        <w:adjustRightInd w:val="0"/>
        <w:ind w:firstLine="0" w:firstLineChars="0"/>
        <w:rPr>
          <w:rFonts w:eastAsia="宋体" w:cs="Times New Roman"/>
          <w:szCs w:val="24"/>
        </w:rPr>
      </w:pPr>
      <w:r>
        <w:rPr>
          <w:rFonts w:eastAsia="宋体" w:cs="Times New Roman"/>
          <w:b/>
          <w:szCs w:val="24"/>
        </w:rPr>
        <w:t xml:space="preserve">3.0.4  </w:t>
      </w:r>
      <w:r>
        <w:rPr>
          <w:rFonts w:hint="eastAsia" w:eastAsia="宋体" w:cs="Times New Roman"/>
          <w:szCs w:val="24"/>
        </w:rPr>
        <w:t>原材料进厂时虽然有合格证书，进场后应根据国家标准的有关规定按照一定数量进行抽检，试件的报告达到要求后方可在工程上使用。</w:t>
      </w:r>
    </w:p>
    <w:p>
      <w:pPr>
        <w:pStyle w:val="61"/>
        <w:ind w:firstLine="0" w:firstLineChars="0"/>
        <w:rPr>
          <w:rFonts w:cs="Times New Roman"/>
        </w:rPr>
      </w:pPr>
    </w:p>
    <w:p>
      <w:pPr>
        <w:pStyle w:val="61"/>
        <w:ind w:firstLine="0" w:firstLineChars="0"/>
        <w:rPr>
          <w:rFonts w:cs="Times New Roman"/>
        </w:rPr>
        <w:sectPr>
          <w:pgSz w:w="11906" w:h="16838"/>
          <w:pgMar w:top="1440" w:right="1800" w:bottom="1440" w:left="1800" w:header="851" w:footer="992" w:gutter="0"/>
          <w:cols w:space="425" w:num="1"/>
          <w:docGrid w:type="lines" w:linePitch="312" w:charSpace="0"/>
        </w:sectPr>
      </w:pPr>
    </w:p>
    <w:p>
      <w:pPr>
        <w:pStyle w:val="2"/>
        <w:numPr>
          <w:ilvl w:val="0"/>
          <w:numId w:val="0"/>
        </w:numPr>
      </w:pPr>
      <w:bookmarkStart w:id="437" w:name="_Toc112317345"/>
      <w:r>
        <w:t xml:space="preserve">4 </w:t>
      </w:r>
      <w:r>
        <w:rPr>
          <w:rFonts w:hint="eastAsia"/>
        </w:rPr>
        <w:t>计算与验算</w:t>
      </w:r>
      <w:bookmarkEnd w:id="437"/>
    </w:p>
    <w:p>
      <w:pPr>
        <w:pStyle w:val="3"/>
        <w:numPr>
          <w:ilvl w:val="0"/>
          <w:numId w:val="0"/>
        </w:numPr>
        <w:spacing w:before="312"/>
      </w:pPr>
      <w:bookmarkStart w:id="438" w:name="_Toc71191931"/>
      <w:bookmarkStart w:id="439" w:name="_Toc77763611"/>
      <w:bookmarkStart w:id="440" w:name="_Toc112317346"/>
      <w:bookmarkStart w:id="441" w:name="_Toc71191927"/>
      <w:bookmarkStart w:id="442" w:name="_Toc77763607"/>
      <w:bookmarkStart w:id="443" w:name="_Hlk70939843"/>
      <w:r>
        <w:t xml:space="preserve">4.2 </w:t>
      </w:r>
      <w:bookmarkEnd w:id="438"/>
      <w:r>
        <w:rPr>
          <w:rFonts w:hint="eastAsia"/>
        </w:rPr>
        <w:t>浮</w:t>
      </w:r>
      <w:r>
        <w:t>运及定位</w:t>
      </w:r>
      <w:r>
        <w:rPr>
          <w:rFonts w:hint="eastAsia"/>
        </w:rPr>
        <w:t>计算</w:t>
      </w:r>
      <w:bookmarkEnd w:id="439"/>
      <w:bookmarkEnd w:id="440"/>
    </w:p>
    <w:p>
      <w:pPr>
        <w:pStyle w:val="4"/>
        <w:numPr>
          <w:ilvl w:val="0"/>
          <w:numId w:val="0"/>
        </w:numPr>
      </w:pPr>
      <w:bookmarkStart w:id="444" w:name="_Toc71191932"/>
      <w:bookmarkStart w:id="445" w:name="_Toc77763612"/>
      <w:r>
        <w:rPr>
          <w:rFonts w:cs="Times New Roman"/>
          <w:b/>
          <w:szCs w:val="24"/>
        </w:rPr>
        <w:t xml:space="preserve">4.2.1  </w:t>
      </w:r>
      <w:r>
        <w:rPr>
          <w:rFonts w:hint="eastAsia"/>
        </w:rPr>
        <w:t>在水中浮运的沉井，由于风浪的影响，往往会影响到浮运沉井的浮运安全，因而水中沉井在浮运过程中（沉入河床前），必须验算横向稳定性，以避免水中倾覆事故的发生；在进行浮运稳定验算时，一般是验算浮运沉井的稳定倾斜角。</w:t>
      </w:r>
      <w:bookmarkEnd w:id="444"/>
      <w:bookmarkEnd w:id="445"/>
    </w:p>
    <w:p>
      <w:pPr>
        <w:pStyle w:val="3"/>
        <w:numPr>
          <w:ilvl w:val="0"/>
          <w:numId w:val="0"/>
        </w:numPr>
        <w:spacing w:before="312"/>
      </w:pPr>
      <w:bookmarkStart w:id="446" w:name="_Toc112317347"/>
      <w:r>
        <w:t xml:space="preserve">4.3 </w:t>
      </w:r>
      <w:r>
        <w:rPr>
          <w:rFonts w:hint="eastAsia"/>
        </w:rPr>
        <w:t>沉井下沉计算</w:t>
      </w:r>
      <w:bookmarkEnd w:id="441"/>
      <w:bookmarkEnd w:id="442"/>
      <w:bookmarkEnd w:id="446"/>
    </w:p>
    <w:bookmarkEnd w:id="443"/>
    <w:p>
      <w:pPr>
        <w:pStyle w:val="4"/>
        <w:numPr>
          <w:ilvl w:val="0"/>
          <w:numId w:val="0"/>
        </w:numPr>
      </w:pPr>
      <w:r>
        <w:rPr>
          <w:rFonts w:cs="Times New Roman"/>
          <w:b/>
          <w:szCs w:val="24"/>
        </w:rPr>
        <w:t xml:space="preserve">4.3.2  </w:t>
      </w:r>
      <w:r>
        <w:rPr>
          <w:rFonts w:hint="eastAsia"/>
        </w:rPr>
        <w:t>侧摩阻力取值受沉井施工状态影响，当沉井停止下沉的时间越长，摩阻力值就越大；当沉井开始起步下沉时，摩阻力值又下降到较小的数值。</w:t>
      </w:r>
    </w:p>
    <w:p>
      <w:pPr>
        <w:pStyle w:val="4"/>
        <w:numPr>
          <w:ilvl w:val="0"/>
          <w:numId w:val="0"/>
        </w:numPr>
      </w:pPr>
      <w:bookmarkStart w:id="447" w:name="_Toc77763608"/>
      <w:bookmarkStart w:id="448" w:name="_Toc71191928"/>
      <w:r>
        <w:rPr>
          <w:rFonts w:cs="Times New Roman"/>
          <w:b/>
          <w:szCs w:val="24"/>
        </w:rPr>
        <w:t xml:space="preserve">4.3.3  </w:t>
      </w:r>
      <w:bookmarkEnd w:id="447"/>
      <w:bookmarkEnd w:id="448"/>
      <w:r>
        <w:rPr>
          <w:rFonts w:hint="eastAsia"/>
        </w:rPr>
        <w:t>在选择下沉系数时，一方面要尽可能保证依靠自重下沉，同时又要防止结构自重过大导致超沉、突沉，如：由于淤泥质土的承载力很低，这时，沉井就会突然下沉，数十秒的沉降量可达数米。</w:t>
      </w:r>
    </w:p>
    <w:p>
      <w:pPr>
        <w:pStyle w:val="4"/>
        <w:numPr>
          <w:ilvl w:val="0"/>
          <w:numId w:val="0"/>
        </w:numPr>
      </w:pPr>
      <w:bookmarkStart w:id="449" w:name="_Toc71191930"/>
      <w:bookmarkStart w:id="450" w:name="_Toc77763609"/>
      <w:r>
        <w:rPr>
          <w:rFonts w:cs="Times New Roman"/>
          <w:b/>
          <w:szCs w:val="24"/>
        </w:rPr>
        <w:t xml:space="preserve">4.3.4  </w:t>
      </w:r>
      <w:bookmarkEnd w:id="449"/>
      <w:bookmarkEnd w:id="450"/>
      <w:r>
        <w:rPr>
          <w:rFonts w:hint="eastAsia"/>
        </w:rPr>
        <w:t>沉井在接高时，增加了沉井重量，如果土体侧摩阻力及地基承载力不足以承担这部分荷载，在浇筑过程中会造成大的沉降，甚至发生突沉，给浇筑混凝土的质量带来一定的危害。因此，进行接高施工前需进行接高稳定性验算。</w:t>
      </w:r>
    </w:p>
    <w:p>
      <w:pPr>
        <w:pStyle w:val="3"/>
        <w:numPr>
          <w:ilvl w:val="0"/>
          <w:numId w:val="0"/>
        </w:numPr>
        <w:spacing w:before="312"/>
      </w:pPr>
      <w:bookmarkStart w:id="451" w:name="_Toc71191933"/>
      <w:bookmarkStart w:id="452" w:name="_Toc77763613"/>
      <w:bookmarkStart w:id="453" w:name="_Toc112317348"/>
      <w:r>
        <w:t xml:space="preserve">4.5 </w:t>
      </w:r>
      <w:r>
        <w:rPr>
          <w:rFonts w:hint="eastAsia"/>
        </w:rPr>
        <w:t>混凝土浇筑计算</w:t>
      </w:r>
      <w:bookmarkEnd w:id="451"/>
      <w:bookmarkEnd w:id="452"/>
      <w:bookmarkEnd w:id="453"/>
    </w:p>
    <w:p>
      <w:pPr>
        <w:pStyle w:val="4"/>
        <w:numPr>
          <w:ilvl w:val="0"/>
          <w:numId w:val="0"/>
        </w:numPr>
      </w:pPr>
      <w:bookmarkStart w:id="454" w:name="_Toc71191935"/>
      <w:bookmarkStart w:id="455" w:name="_Toc77763614"/>
      <w:r>
        <w:rPr>
          <w:rFonts w:cs="Times New Roman"/>
          <w:b/>
          <w:szCs w:val="24"/>
        </w:rPr>
        <w:t xml:space="preserve">4.5.2  </w:t>
      </w:r>
      <w:bookmarkEnd w:id="454"/>
      <w:bookmarkEnd w:id="455"/>
      <w:r>
        <w:rPr>
          <w:rFonts w:hint="eastAsia" w:cs="Times New Roman"/>
          <w:szCs w:val="24"/>
        </w:rPr>
        <w:t>当浇筑面积较大时，可采用2根或2根以上的导管同时浇筑，但各根导管的有效扩散半径应互相搭接并能盖满井底全部范围；为防止导管外的水进入导管，并获得比较平缓的混凝土表面坡度，导管下端应插入混凝土内一定的深度。</w:t>
      </w:r>
    </w:p>
    <w:p>
      <w:pPr>
        <w:ind w:firstLine="480"/>
      </w:pPr>
    </w:p>
    <w:p>
      <w:pPr>
        <w:ind w:firstLine="480"/>
        <w:sectPr>
          <w:pgSz w:w="11906" w:h="16838"/>
          <w:pgMar w:top="1440" w:right="1800" w:bottom="1440" w:left="1800" w:header="851" w:footer="992" w:gutter="0"/>
          <w:cols w:space="425" w:num="1"/>
          <w:docGrid w:type="lines" w:linePitch="312" w:charSpace="0"/>
        </w:sectPr>
      </w:pPr>
    </w:p>
    <w:p>
      <w:pPr>
        <w:pStyle w:val="2"/>
        <w:numPr>
          <w:ilvl w:val="0"/>
          <w:numId w:val="0"/>
        </w:numPr>
      </w:pPr>
      <w:bookmarkStart w:id="456" w:name="_Toc112317349"/>
      <w:r>
        <w:t xml:space="preserve">5 </w:t>
      </w:r>
      <w:r>
        <w:rPr>
          <w:rFonts w:hint="eastAsia"/>
        </w:rPr>
        <w:t>水中沉井基础施工</w:t>
      </w:r>
      <w:bookmarkEnd w:id="456"/>
    </w:p>
    <w:p>
      <w:pPr>
        <w:pStyle w:val="3"/>
        <w:numPr>
          <w:ilvl w:val="0"/>
          <w:numId w:val="0"/>
        </w:numPr>
        <w:spacing w:before="312"/>
        <w:ind w:left="284"/>
      </w:pPr>
      <w:bookmarkStart w:id="457" w:name="_Toc112317350"/>
      <w:bookmarkStart w:id="458" w:name="_Toc77763617"/>
      <w:r>
        <w:t xml:space="preserve">5.1 </w:t>
      </w:r>
      <w:r>
        <w:rPr>
          <w:rFonts w:hint="eastAsia"/>
        </w:rPr>
        <w:t>一般规定</w:t>
      </w:r>
      <w:bookmarkEnd w:id="457"/>
      <w:bookmarkEnd w:id="458"/>
    </w:p>
    <w:p>
      <w:pPr>
        <w:pStyle w:val="4"/>
        <w:numPr>
          <w:ilvl w:val="0"/>
          <w:numId w:val="0"/>
        </w:numPr>
      </w:pPr>
      <w:r>
        <w:rPr>
          <w:rFonts w:hint="eastAsia"/>
          <w:b/>
        </w:rPr>
        <w:t>5.1.2</w:t>
      </w:r>
      <w:r>
        <w:rPr>
          <w:b/>
        </w:rPr>
        <w:t xml:space="preserve">  </w:t>
      </w:r>
      <w:r>
        <w:rPr>
          <w:rFonts w:hint="eastAsia"/>
        </w:rPr>
        <w:t>为保证沉井顺利下沉，对钻孔应有特殊的要求，本条根据面积大小以及工程的特殊性给出了一些钻孔要求，如下沉区域遇有软弱下卧层，应对其深度和范围进行探明。</w:t>
      </w:r>
    </w:p>
    <w:p>
      <w:pPr>
        <w:pStyle w:val="4"/>
        <w:numPr>
          <w:ilvl w:val="0"/>
          <w:numId w:val="0"/>
        </w:numPr>
      </w:pPr>
      <w:bookmarkStart w:id="459" w:name="_Toc71191922"/>
      <w:r>
        <w:rPr>
          <w:rFonts w:hint="eastAsia" w:cs="Times New Roman"/>
          <w:b/>
        </w:rPr>
        <w:t xml:space="preserve">5.1.6 </w:t>
      </w:r>
      <w:r>
        <w:rPr>
          <w:rFonts w:hint="eastAsia" w:cs="Times New Roman"/>
        </w:rPr>
        <w:t xml:space="preserve"> 沉井第一节制作对沉井的下沉非常重要，涉及到刃脚、隔墙等的制作，为</w:t>
      </w:r>
      <w:r>
        <w:rPr>
          <w:rFonts w:hint="eastAsia"/>
        </w:rPr>
        <w:t>了保证制作的质量，第一节的制作荷载不应大于地基的承载力设计值，以后各节只制作井壁、隔墙，承载力要求较第一节低，达到地基的极限承载力标准值即可，如设计由上、下限值时，采用上限值。</w:t>
      </w:r>
    </w:p>
    <w:p>
      <w:pPr>
        <w:pStyle w:val="4"/>
        <w:numPr>
          <w:ilvl w:val="0"/>
          <w:numId w:val="0"/>
        </w:numPr>
      </w:pPr>
      <w:bookmarkStart w:id="460" w:name="_Toc77763632"/>
      <w:r>
        <w:rPr>
          <w:b/>
        </w:rPr>
        <w:t>5</w:t>
      </w:r>
      <w:r>
        <w:rPr>
          <w:rFonts w:hint="eastAsia"/>
          <w:b/>
        </w:rPr>
        <w:t>.1.7</w:t>
      </w:r>
      <w:r>
        <w:rPr>
          <w:b/>
        </w:rPr>
        <w:t xml:space="preserve">  </w:t>
      </w:r>
      <w:r>
        <w:rPr>
          <w:rFonts w:hint="eastAsia"/>
        </w:rPr>
        <w:t>着床时机的选择应遵循以下原则：①应尽量选择流速较小的时段内着床施工。对于长江流域，其丰水期和枯水期内长江水深及流速有很大的差别，一般宜选择在流速较小的枯水期进行着床施工；对于其他水域，若无明显的流速变化时段，则可根据施工工期而定。②对于涨落潮河段或海域，应选择在平潮时着床施工。通常情况下，江（海）水涨落潮期间，水流流速增大，对沉井的施工产生较大的影响。在高平潮或低平潮时，流速较小且较为稳定，此期间为沉井着床的最佳时期。③为使沉井达到快速着床的目的，向隔舱内注水是有效着床施工方式之一。对于河床在沉井施工期受水流冲刷较大的情况，应根据计算结果，对不同部位隔舱注入不同体积的水，避免沉井在下沉初期产生较大的倾斜。</w:t>
      </w:r>
      <w:bookmarkEnd w:id="460"/>
    </w:p>
    <w:p>
      <w:pPr>
        <w:pStyle w:val="4"/>
        <w:numPr>
          <w:ilvl w:val="0"/>
          <w:numId w:val="0"/>
        </w:numPr>
      </w:pPr>
      <w:r>
        <w:rPr>
          <w:rFonts w:hint="eastAsia"/>
          <w:b/>
        </w:rPr>
        <w:t xml:space="preserve">5.1.8  </w:t>
      </w:r>
      <w:r>
        <w:rPr>
          <w:rFonts w:hint="eastAsia"/>
        </w:rPr>
        <w:t>沉井接高施工时，必须保证其接高稳定性，以防止接高发生突沉；接高稳定性不符合要求时，应根据计算结果采取井内留土、灌水等措施，确保接高制作稳定。</w:t>
      </w:r>
      <w:bookmarkEnd w:id="459"/>
    </w:p>
    <w:p>
      <w:pPr>
        <w:pStyle w:val="3"/>
        <w:numPr>
          <w:ilvl w:val="0"/>
          <w:numId w:val="0"/>
        </w:numPr>
        <w:spacing w:before="312"/>
      </w:pPr>
      <w:bookmarkStart w:id="461" w:name="_Toc112317351"/>
      <w:bookmarkStart w:id="462" w:name="_Toc77763621"/>
      <w:r>
        <w:t xml:space="preserve">5.2 </w:t>
      </w:r>
      <w:r>
        <w:rPr>
          <w:rFonts w:hint="eastAsia"/>
        </w:rPr>
        <w:t>钢沉井制造及组装</w:t>
      </w:r>
      <w:bookmarkEnd w:id="461"/>
      <w:bookmarkEnd w:id="462"/>
    </w:p>
    <w:p>
      <w:pPr>
        <w:pStyle w:val="4"/>
        <w:numPr>
          <w:ilvl w:val="0"/>
          <w:numId w:val="0"/>
        </w:numPr>
      </w:pPr>
      <w:bookmarkStart w:id="463" w:name="_Toc77763622"/>
      <w:bookmarkStart w:id="464" w:name="_Toc104109558"/>
      <w:r>
        <w:rPr>
          <w:b/>
        </w:rPr>
        <w:t>5.2.1</w:t>
      </w:r>
      <w:r>
        <w:t xml:space="preserve">  </w:t>
      </w:r>
      <w:r>
        <w:rPr>
          <w:rFonts w:hint="eastAsia"/>
        </w:rPr>
        <w:t>首节钢壳沉井选择在造船厂或钢结构厂内制作，可有效保证结构的焊接质量和制作精度；钢沉井的拼装位置可选择在拼装码头，有条件的也可现在在干坞内进行拼装；钢沉井的制造和拼装精度可参考下表。</w:t>
      </w:r>
      <w:bookmarkEnd w:id="463"/>
      <w:bookmarkEnd w:id="464"/>
    </w:p>
    <w:p>
      <w:pPr>
        <w:ind w:firstLine="440"/>
        <w:jc w:val="center"/>
        <w:rPr>
          <w:color w:val="000000" w:themeColor="text1"/>
          <w14:textFill>
            <w14:solidFill>
              <w14:schemeClr w14:val="tx1"/>
            </w14:solidFill>
          </w14:textFill>
        </w:rPr>
      </w:pPr>
      <w:r>
        <w:rPr>
          <w:rStyle w:val="56"/>
          <w:rFonts w:hint="eastAsia"/>
          <w:color w:val="000000" w:themeColor="text1"/>
          <w14:textFill>
            <w14:solidFill>
              <w14:schemeClr w14:val="tx1"/>
            </w14:solidFill>
          </w14:textFill>
        </w:rPr>
        <w:t>表1</w:t>
      </w:r>
      <w:r>
        <w:rPr>
          <w:rStyle w:val="56"/>
          <w:color w:val="000000" w:themeColor="text1"/>
          <w14:textFill>
            <w14:solidFill>
              <w14:schemeClr w14:val="tx1"/>
            </w14:solidFill>
          </w14:textFill>
        </w:rPr>
        <w:t xml:space="preserve"> </w:t>
      </w:r>
      <w:r>
        <w:rPr>
          <w:rStyle w:val="56"/>
          <w:rFonts w:hint="eastAsia"/>
          <w:color w:val="000000" w:themeColor="text1"/>
          <w14:textFill>
            <w14:solidFill>
              <w14:schemeClr w14:val="tx1"/>
            </w14:solidFill>
          </w14:textFill>
        </w:rPr>
        <w:t>钢壳沉井制造和拼装精度</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8"/>
        <w:gridCol w:w="2513"/>
        <w:gridCol w:w="3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vAlign w:val="center"/>
          </w:tcPr>
          <w:p>
            <w:pPr>
              <w:pStyle w:val="59"/>
            </w:pPr>
            <w:r>
              <w:rPr>
                <w:rFonts w:hint="eastAsia"/>
              </w:rPr>
              <w:t>项目</w:t>
            </w:r>
          </w:p>
        </w:tc>
        <w:tc>
          <w:tcPr>
            <w:tcW w:w="2513" w:type="dxa"/>
            <w:tcBorders>
              <w:top w:val="single" w:color="auto" w:sz="4" w:space="0"/>
              <w:left w:val="single" w:color="auto" w:sz="4" w:space="0"/>
              <w:bottom w:val="single" w:color="auto" w:sz="4" w:space="0"/>
              <w:right w:val="single" w:color="auto" w:sz="4" w:space="0"/>
            </w:tcBorders>
            <w:vAlign w:val="center"/>
          </w:tcPr>
          <w:p>
            <w:pPr>
              <w:pStyle w:val="59"/>
            </w:pPr>
            <w:r>
              <w:rPr>
                <w:rFonts w:hint="eastAsia"/>
              </w:rPr>
              <w:t>描述</w:t>
            </w:r>
          </w:p>
        </w:tc>
        <w:tc>
          <w:tcPr>
            <w:tcW w:w="3169" w:type="dxa"/>
            <w:tcBorders>
              <w:top w:val="single" w:color="auto" w:sz="4" w:space="0"/>
              <w:left w:val="single" w:color="auto" w:sz="4" w:space="0"/>
              <w:bottom w:val="single" w:color="auto" w:sz="4" w:space="0"/>
              <w:right w:val="single" w:color="auto" w:sz="4" w:space="0"/>
            </w:tcBorders>
            <w:vAlign w:val="center"/>
          </w:tcPr>
          <w:p>
            <w:pPr>
              <w:pStyle w:val="59"/>
            </w:pPr>
            <w:r>
              <w:rPr>
                <w:rFonts w:hint="eastAsia"/>
              </w:rPr>
              <w:t>允许误差值（</w:t>
            </w:r>
            <w:r>
              <w:t>mm</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vMerge w:val="restart"/>
            <w:tcBorders>
              <w:top w:val="single" w:color="auto" w:sz="4" w:space="0"/>
              <w:left w:val="single" w:color="auto" w:sz="4" w:space="0"/>
              <w:bottom w:val="single" w:color="auto" w:sz="4" w:space="0"/>
              <w:right w:val="single" w:color="auto" w:sz="4" w:space="0"/>
            </w:tcBorders>
            <w:vAlign w:val="center"/>
          </w:tcPr>
          <w:p>
            <w:pPr>
              <w:pStyle w:val="59"/>
            </w:pPr>
            <w:r>
              <w:rPr>
                <w:rFonts w:hint="eastAsia"/>
              </w:rPr>
              <w:t>沉井平面尺寸</w:t>
            </w:r>
          </w:p>
        </w:tc>
        <w:tc>
          <w:tcPr>
            <w:tcW w:w="2513" w:type="dxa"/>
            <w:tcBorders>
              <w:top w:val="single" w:color="auto" w:sz="4" w:space="0"/>
              <w:left w:val="single" w:color="auto" w:sz="4" w:space="0"/>
              <w:bottom w:val="single" w:color="auto" w:sz="4" w:space="0"/>
              <w:right w:val="single" w:color="auto" w:sz="4" w:space="0"/>
            </w:tcBorders>
            <w:vAlign w:val="center"/>
          </w:tcPr>
          <w:p>
            <w:pPr>
              <w:pStyle w:val="59"/>
            </w:pPr>
            <w:r>
              <w:rPr>
                <w:rFonts w:hint="eastAsia"/>
              </w:rPr>
              <w:t>长度与宽度</w:t>
            </w:r>
          </w:p>
        </w:tc>
        <w:tc>
          <w:tcPr>
            <w:tcW w:w="3169" w:type="dxa"/>
            <w:tcBorders>
              <w:top w:val="single" w:color="auto" w:sz="4" w:space="0"/>
              <w:left w:val="single" w:color="auto" w:sz="4" w:space="0"/>
              <w:bottom w:val="single" w:color="auto" w:sz="4" w:space="0"/>
              <w:right w:val="single" w:color="auto" w:sz="4" w:space="0"/>
            </w:tcBorders>
            <w:vAlign w:val="center"/>
          </w:tcPr>
          <w:p>
            <w:pPr>
              <w:pStyle w:val="59"/>
            </w:pPr>
            <w:r>
              <w:rPr>
                <w:rFonts w:hint="eastAsia"/>
              </w:rPr>
              <w:t>±</w:t>
            </w:r>
            <w:r>
              <w:t>0.5%</w:t>
            </w:r>
            <w:r>
              <w:rPr>
                <w:rFonts w:hint="eastAsia"/>
              </w:rPr>
              <w:t>边长，大于</w:t>
            </w:r>
            <w:r>
              <w:t>24m</w:t>
            </w:r>
            <w:r>
              <w:rPr>
                <w:rFonts w:hint="eastAsia"/>
              </w:rPr>
              <w:t>时±</w:t>
            </w:r>
            <w: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59"/>
            </w:pPr>
          </w:p>
        </w:tc>
        <w:tc>
          <w:tcPr>
            <w:tcW w:w="2513" w:type="dxa"/>
            <w:tcBorders>
              <w:top w:val="single" w:color="auto" w:sz="4" w:space="0"/>
              <w:left w:val="single" w:color="auto" w:sz="4" w:space="0"/>
              <w:bottom w:val="single" w:color="auto" w:sz="4" w:space="0"/>
              <w:right w:val="single" w:color="auto" w:sz="4" w:space="0"/>
            </w:tcBorders>
            <w:vAlign w:val="center"/>
          </w:tcPr>
          <w:p>
            <w:pPr>
              <w:pStyle w:val="59"/>
            </w:pPr>
            <w:r>
              <w:rPr>
                <w:rFonts w:hint="eastAsia"/>
              </w:rPr>
              <w:t>曲线部分的半径</w:t>
            </w:r>
          </w:p>
        </w:tc>
        <w:tc>
          <w:tcPr>
            <w:tcW w:w="3169" w:type="dxa"/>
            <w:tcBorders>
              <w:top w:val="single" w:color="auto" w:sz="4" w:space="0"/>
              <w:left w:val="single" w:color="auto" w:sz="4" w:space="0"/>
              <w:bottom w:val="single" w:color="auto" w:sz="4" w:space="0"/>
              <w:right w:val="single" w:color="auto" w:sz="4" w:space="0"/>
            </w:tcBorders>
            <w:vAlign w:val="center"/>
          </w:tcPr>
          <w:p>
            <w:pPr>
              <w:pStyle w:val="59"/>
            </w:pPr>
            <w:r>
              <w:rPr>
                <w:rFonts w:hint="eastAsia"/>
              </w:rPr>
              <w:t>±</w:t>
            </w:r>
            <w:r>
              <w:t>0.5%</w:t>
            </w:r>
            <w:r>
              <w:rPr>
                <w:rFonts w:hint="eastAsia"/>
              </w:rPr>
              <w:t>半径，大于</w:t>
            </w:r>
            <w:r>
              <w:t>12m</w:t>
            </w:r>
            <w:r>
              <w:rPr>
                <w:rFonts w:hint="eastAsia"/>
              </w:rPr>
              <w:t>时±</w:t>
            </w: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59"/>
            </w:pPr>
          </w:p>
        </w:tc>
        <w:tc>
          <w:tcPr>
            <w:tcW w:w="2513" w:type="dxa"/>
            <w:tcBorders>
              <w:top w:val="single" w:color="auto" w:sz="4" w:space="0"/>
              <w:left w:val="single" w:color="auto" w:sz="4" w:space="0"/>
              <w:bottom w:val="single" w:color="auto" w:sz="4" w:space="0"/>
              <w:right w:val="single" w:color="auto" w:sz="4" w:space="0"/>
            </w:tcBorders>
            <w:vAlign w:val="center"/>
          </w:tcPr>
          <w:p>
            <w:pPr>
              <w:pStyle w:val="59"/>
            </w:pPr>
            <w:r>
              <w:rPr>
                <w:rFonts w:hint="eastAsia"/>
              </w:rPr>
              <w:t>两对角线的差异</w:t>
            </w:r>
          </w:p>
        </w:tc>
        <w:tc>
          <w:tcPr>
            <w:tcW w:w="3169" w:type="dxa"/>
            <w:tcBorders>
              <w:top w:val="single" w:color="auto" w:sz="4" w:space="0"/>
              <w:left w:val="single" w:color="auto" w:sz="4" w:space="0"/>
              <w:bottom w:val="single" w:color="auto" w:sz="4" w:space="0"/>
              <w:right w:val="single" w:color="auto" w:sz="4" w:space="0"/>
            </w:tcBorders>
            <w:vAlign w:val="center"/>
          </w:tcPr>
          <w:p>
            <w:pPr>
              <w:pStyle w:val="59"/>
            </w:pPr>
            <w:r>
              <w:rPr>
                <w:rFonts w:hint="eastAsia"/>
              </w:rPr>
              <w:t>对角线长度的</w:t>
            </w:r>
            <w:r>
              <w:t>1%</w:t>
            </w:r>
            <w:r>
              <w:rPr>
                <w:rFonts w:hint="eastAsia"/>
              </w:rPr>
              <w:t>，且不大于</w:t>
            </w:r>
            <w: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vAlign w:val="center"/>
          </w:tcPr>
          <w:p>
            <w:pPr>
              <w:pStyle w:val="59"/>
            </w:pPr>
            <w:r>
              <w:rPr>
                <w:rFonts w:hint="eastAsia"/>
              </w:rPr>
              <w:t>沉井井壁厚度</w:t>
            </w:r>
          </w:p>
        </w:tc>
        <w:tc>
          <w:tcPr>
            <w:tcW w:w="2513" w:type="dxa"/>
            <w:tcBorders>
              <w:top w:val="single" w:color="auto" w:sz="4" w:space="0"/>
              <w:left w:val="single" w:color="auto" w:sz="4" w:space="0"/>
              <w:bottom w:val="single" w:color="auto" w:sz="4" w:space="0"/>
              <w:right w:val="single" w:color="auto" w:sz="4" w:space="0"/>
            </w:tcBorders>
            <w:vAlign w:val="center"/>
          </w:tcPr>
          <w:p>
            <w:pPr>
              <w:pStyle w:val="59"/>
            </w:pPr>
            <w:r>
              <w:rPr>
                <w:rFonts w:hint="eastAsia"/>
              </w:rPr>
              <w:t>钢壳和混凝土</w:t>
            </w:r>
          </w:p>
        </w:tc>
        <w:tc>
          <w:tcPr>
            <w:tcW w:w="3169" w:type="dxa"/>
            <w:tcBorders>
              <w:top w:val="single" w:color="auto" w:sz="4" w:space="0"/>
              <w:left w:val="single" w:color="auto" w:sz="4" w:space="0"/>
              <w:bottom w:val="single" w:color="auto" w:sz="4" w:space="0"/>
              <w:right w:val="single" w:color="auto" w:sz="4" w:space="0"/>
            </w:tcBorders>
            <w:vAlign w:val="center"/>
          </w:tcPr>
          <w:p>
            <w:pPr>
              <w:pStyle w:val="59"/>
            </w:pPr>
            <w:r>
              <w:rPr>
                <w:rFonts w:hint="eastAsia"/>
              </w:rPr>
              <w:t>±</w:t>
            </w:r>
            <w:r>
              <w:t>15</w:t>
            </w:r>
          </w:p>
        </w:tc>
      </w:tr>
    </w:tbl>
    <w:p>
      <w:pPr>
        <w:ind w:firstLine="480"/>
      </w:pPr>
      <w:bookmarkStart w:id="465" w:name="_Toc77763623"/>
      <w:bookmarkStart w:id="466" w:name="_Toc104109559"/>
    </w:p>
    <w:p>
      <w:pPr>
        <w:pStyle w:val="4"/>
        <w:numPr>
          <w:ilvl w:val="0"/>
          <w:numId w:val="0"/>
        </w:numPr>
      </w:pPr>
      <w:r>
        <w:rPr>
          <w:rFonts w:hint="eastAsia"/>
          <w:b/>
        </w:rPr>
        <w:t xml:space="preserve">5.2.2  </w:t>
      </w:r>
      <w:r>
        <w:rPr>
          <w:rFonts w:hint="eastAsia"/>
        </w:rPr>
        <w:t>水中</w:t>
      </w:r>
      <w:r>
        <w:t>沉井的</w:t>
      </w:r>
      <w:r>
        <w:rPr>
          <w:rFonts w:hint="eastAsia"/>
        </w:rPr>
        <w:t>首节通常</w:t>
      </w:r>
      <w:r>
        <w:t>指用于沉井浮</w:t>
      </w:r>
      <w:r>
        <w:rPr>
          <w:rFonts w:hint="eastAsia"/>
        </w:rPr>
        <w:t>运、</w:t>
      </w:r>
      <w:r>
        <w:t>首次定位着床</w:t>
      </w:r>
      <w:r>
        <w:rPr>
          <w:rFonts w:hint="eastAsia"/>
        </w:rPr>
        <w:t>，</w:t>
      </w:r>
      <w:r>
        <w:t>沉井</w:t>
      </w:r>
      <w:r>
        <w:rPr>
          <w:rFonts w:hint="eastAsia"/>
        </w:rPr>
        <w:t>加工</w:t>
      </w:r>
      <w:r>
        <w:t>制造的最下部</w:t>
      </w:r>
      <w:r>
        <w:rPr>
          <w:rFonts w:hint="eastAsia"/>
        </w:rPr>
        <w:t>节</w:t>
      </w:r>
      <w:r>
        <w:t>段</w:t>
      </w:r>
      <w:r>
        <w:rPr>
          <w:rFonts w:hint="eastAsia"/>
        </w:rPr>
        <w:t>；用于大型</w:t>
      </w:r>
      <w:r>
        <w:t>深水</w:t>
      </w:r>
      <w:r>
        <w:rPr>
          <w:rFonts w:hint="eastAsia"/>
        </w:rPr>
        <w:t>基础</w:t>
      </w:r>
      <w:r>
        <w:t>的沉井</w:t>
      </w:r>
      <w:r>
        <w:rPr>
          <w:rFonts w:hint="eastAsia"/>
        </w:rPr>
        <w:t>的首节</w:t>
      </w:r>
      <w:r>
        <w:t>通常</w:t>
      </w:r>
      <w:r>
        <w:rPr>
          <w:rFonts w:hint="eastAsia"/>
        </w:rPr>
        <w:t>为</w:t>
      </w:r>
      <w:r>
        <w:t>全钢结构，一般采用陆上加工制造完成；</w:t>
      </w:r>
      <w:r>
        <w:rPr>
          <w:rFonts w:hint="eastAsia"/>
        </w:rPr>
        <w:t>首节的</w:t>
      </w:r>
      <w:r>
        <w:t>最小高度通常为</w:t>
      </w:r>
      <w:r>
        <w:rPr>
          <w:rFonts w:hint="eastAsia"/>
        </w:rPr>
        <w:t>沉井</w:t>
      </w:r>
      <w:r>
        <w:t>第一次下沉至稳定深度、满足接高要求的高度。</w:t>
      </w:r>
    </w:p>
    <w:p>
      <w:pPr>
        <w:pStyle w:val="4"/>
        <w:numPr>
          <w:ilvl w:val="0"/>
          <w:numId w:val="0"/>
        </w:numPr>
      </w:pPr>
      <w:r>
        <w:rPr>
          <w:b/>
        </w:rPr>
        <w:t>5.2.4</w:t>
      </w:r>
      <w:r>
        <w:t xml:space="preserve">  </w:t>
      </w:r>
      <w:r>
        <w:rPr>
          <w:rFonts w:hint="eastAsia"/>
        </w:rPr>
        <w:t>钢沉井接焊缝的水密性试验，最底部</w:t>
      </w:r>
      <w:r>
        <w:t>节段</w:t>
      </w:r>
      <w:r>
        <w:rPr>
          <w:rFonts w:hint="eastAsia"/>
        </w:rPr>
        <w:t>宜采用灌水方法做水压水密性试验，其余各节段接焊缝宜采用煤油渗透试验。</w:t>
      </w:r>
      <w:bookmarkEnd w:id="465"/>
      <w:bookmarkEnd w:id="466"/>
    </w:p>
    <w:p>
      <w:pPr>
        <w:pStyle w:val="3"/>
        <w:numPr>
          <w:ilvl w:val="0"/>
          <w:numId w:val="0"/>
        </w:numPr>
        <w:spacing w:before="312"/>
        <w:ind w:left="284"/>
      </w:pPr>
      <w:bookmarkStart w:id="467" w:name="_Toc77763624"/>
      <w:bookmarkStart w:id="468" w:name="_Toc112317352"/>
      <w:r>
        <w:t xml:space="preserve">5.3 </w:t>
      </w:r>
      <w:r>
        <w:rPr>
          <w:rFonts w:hint="eastAsia"/>
        </w:rPr>
        <w:t>钢沉井下水</w:t>
      </w:r>
      <w:bookmarkEnd w:id="467"/>
      <w:bookmarkEnd w:id="468"/>
    </w:p>
    <w:p>
      <w:pPr>
        <w:pStyle w:val="4"/>
        <w:numPr>
          <w:ilvl w:val="0"/>
          <w:numId w:val="0"/>
        </w:numPr>
      </w:pPr>
      <w:bookmarkStart w:id="469" w:name="_Toc77763625"/>
      <w:bookmarkStart w:id="470" w:name="_Toc104109561"/>
      <w:r>
        <w:rPr>
          <w:b/>
        </w:rPr>
        <w:t>5.3.3</w:t>
      </w:r>
      <w:r>
        <w:t xml:space="preserve">  </w:t>
      </w:r>
      <w:r>
        <w:rPr>
          <w:rFonts w:hint="eastAsia"/>
        </w:rPr>
        <w:t>一般适用于钢沉井在船坞内进行焊接拼装工艺，钢沉井在坞内拼装完成后，高潮位时打开船坞进水阀门，沉井受到浮力作用起浮，打开坞门，拖轮拖带至指定位置。</w:t>
      </w:r>
      <w:bookmarkEnd w:id="469"/>
      <w:bookmarkEnd w:id="470"/>
    </w:p>
    <w:p>
      <w:pPr>
        <w:pStyle w:val="4"/>
        <w:numPr>
          <w:ilvl w:val="0"/>
          <w:numId w:val="0"/>
        </w:numPr>
      </w:pPr>
      <w:bookmarkStart w:id="471" w:name="_Toc77763626"/>
      <w:bookmarkStart w:id="472" w:name="_Toc104109562"/>
      <w:r>
        <w:rPr>
          <w:b/>
        </w:rPr>
        <w:t>5.3.5</w:t>
      </w:r>
      <w:r>
        <w:t xml:space="preserve">  </w:t>
      </w:r>
      <w:r>
        <w:rPr>
          <w:rFonts w:hint="eastAsia"/>
        </w:rPr>
        <w:t>整体起吊下水对水深要求较高，在有大型起重船的条件下，操作简捷、筹备与清场简单、施工风险小。</w:t>
      </w:r>
      <w:bookmarkEnd w:id="471"/>
      <w:bookmarkEnd w:id="472"/>
    </w:p>
    <w:p>
      <w:pPr>
        <w:pStyle w:val="3"/>
        <w:numPr>
          <w:ilvl w:val="0"/>
          <w:numId w:val="0"/>
        </w:numPr>
        <w:spacing w:before="312"/>
        <w:ind w:left="284"/>
      </w:pPr>
      <w:bookmarkStart w:id="473" w:name="_Toc77763627"/>
      <w:bookmarkStart w:id="474" w:name="_Toc112317353"/>
      <w:r>
        <w:t xml:space="preserve">5.4 </w:t>
      </w:r>
      <w:r>
        <w:rPr>
          <w:rFonts w:hint="eastAsia"/>
        </w:rPr>
        <w:t>钢沉井</w:t>
      </w:r>
      <w:bookmarkEnd w:id="473"/>
      <w:r>
        <w:rPr>
          <w:rFonts w:hint="eastAsia"/>
        </w:rPr>
        <w:t>运输</w:t>
      </w:r>
      <w:bookmarkEnd w:id="474"/>
    </w:p>
    <w:p>
      <w:pPr>
        <w:pStyle w:val="4"/>
        <w:numPr>
          <w:ilvl w:val="0"/>
          <w:numId w:val="0"/>
        </w:numPr>
      </w:pPr>
      <w:bookmarkStart w:id="475" w:name="_Toc77763628"/>
      <w:bookmarkStart w:id="476" w:name="_Toc104109564"/>
      <w:r>
        <w:rPr>
          <w:b/>
        </w:rPr>
        <w:t>5.4.3</w:t>
      </w:r>
      <w:r>
        <w:t xml:space="preserve">  </w:t>
      </w:r>
      <w:r>
        <w:rPr>
          <w:rFonts w:hint="eastAsia"/>
        </w:rPr>
        <w:t>浮运过程，应根据自身结构特征（圆形或方形等），设置沉井浮运合理的吃水深度，保证沉井浮运过程中的稳定性。</w:t>
      </w:r>
      <w:bookmarkEnd w:id="475"/>
      <w:bookmarkEnd w:id="476"/>
    </w:p>
    <w:p>
      <w:pPr>
        <w:pStyle w:val="3"/>
        <w:numPr>
          <w:ilvl w:val="0"/>
          <w:numId w:val="0"/>
        </w:numPr>
        <w:spacing w:before="312"/>
        <w:ind w:left="284"/>
      </w:pPr>
      <w:bookmarkStart w:id="477" w:name="_Toc77763629"/>
      <w:bookmarkStart w:id="478" w:name="_Toc112317354"/>
      <w:r>
        <w:t xml:space="preserve">5.5 </w:t>
      </w:r>
      <w:r>
        <w:rPr>
          <w:rFonts w:hint="eastAsia"/>
        </w:rPr>
        <w:t>钢沉井定位及着床</w:t>
      </w:r>
      <w:bookmarkEnd w:id="477"/>
      <w:bookmarkEnd w:id="478"/>
    </w:p>
    <w:p>
      <w:pPr>
        <w:pStyle w:val="4"/>
        <w:numPr>
          <w:ilvl w:val="0"/>
          <w:numId w:val="0"/>
        </w:numPr>
        <w:jc w:val="both"/>
      </w:pPr>
      <w:bookmarkStart w:id="479" w:name="_Toc77763619"/>
      <w:bookmarkStart w:id="480" w:name="_Toc104109555"/>
      <w:r>
        <w:rPr>
          <w:b/>
        </w:rPr>
        <w:t>5.5.2</w:t>
      </w:r>
      <w:r>
        <w:t xml:space="preserve">  </w:t>
      </w:r>
      <w:r>
        <w:rPr>
          <w:rFonts w:hint="eastAsia"/>
        </w:rPr>
        <w:t>锚墩（桩）定位系统主要由锚固体和张拉定位系统两部分组成，锚固体主要由基础和承台两部分组成，张拉定位系统包括承台预埋件、张拉设备、牵引杆、万向节及连接锚墩和钢沉井的钢绞线等；锚碇系统主要由主锚、边锚、尾锚、定位船、上锚缆和下锚缆六部分组成，应经设计计算确定定位船的位置、锚的种类、重量、位置、方向，以及锚绳和锚链的规格等；导向墩系统定位以四角导向墩定位系统为例，在沉井四个角位置各布设桩基作为主要支撑结构的墩台，在沉井的上下游分别布置数根锚缆与墩台连接，并设置橡胶护舷等，为减少河床冲刷带来的安全风险，桩基的底标高应超过沉井最终底标高</w:t>
      </w:r>
      <w:r>
        <w:t>10m</w:t>
      </w:r>
      <w:r>
        <w:rPr>
          <w:rFonts w:hint="eastAsia"/>
        </w:rPr>
        <w:t>以上。</w:t>
      </w:r>
      <w:bookmarkEnd w:id="479"/>
      <w:bookmarkEnd w:id="480"/>
    </w:p>
    <w:p>
      <w:pPr>
        <w:ind w:firstLine="480"/>
      </w:pPr>
      <w:bookmarkStart w:id="481" w:name="_Toc77763630"/>
      <w:r>
        <w:rPr>
          <w:rFonts w:hint="eastAsia"/>
        </w:rPr>
        <w:t>上下游锚墩定位系统指沉井上下游的适当距离各设置一个用钢管桩为主要支撑结构的墩台，锚墩位置尽量避开沉井冲刷范围，利用锚缆将沉井与锚墩连接，钢管桩连接为整体形成平台，平台上布置滑车组、卷扬机等设备以调整缆绳；抛设一定数量的边锚，边锚直接作用于沉井上，以抵抗沉井定位的侧面阻力。沉井的四个对角处设置四个以钢管桩为主要承力结构的临时墩台，墩台布置距离沉井的距离在</w:t>
      </w:r>
      <w:r>
        <w:t>100m</w:t>
      </w:r>
      <w:r>
        <w:rPr>
          <w:rFonts w:hint="eastAsia"/>
        </w:rPr>
        <w:t>以上，尽量避开沉井的冲刷范围，墩台用缆绳分别与钢沉井的上下游面连接，上下游的两个墩台锚缆形成交叉缆；墩台上面通过浇筑混凝土或用型钢等把钢管桩连接成整体并形成操作平台，在平台上分别布置相应的滑车组，卷扬机等设施以方便调节锚缆拉力。拉靠墩定位系统一般由上游拉墩和下游靠墩组成，上游拉墩在钢吊箱围堰定位时承受钢丝绳锚缆传递来的顺流向荷载，下游靠墩在钢吊箱围堰定位时承受位置调整过程中由钢吊箱围堰传递来的挤靠力。定位船锚碇系统是由导向船和定位船组成的定位系统，导向船与定位船均自成体系；根据工程实际情况和船只数量，可分为一个导向船和一个定位船定位方案、两个导向船和一个定位船定位方案及两个导向船和两个定位船定位方案；一般通过定位船来抵抗沉井所承受的水流力，通过导向船来稳定和调整沉井位置，并在导向船另侧围堰上设锚缆以平衡稳定沉井。多锚块锚碇系统一般在沉井周边布置一定数量的重力式锚碇装置（如混凝土锚块），通过设置在沉井外侧边的导向装置，利用钢缆绳将锚碇装置和布置在沉井顶面的驱动装置（如卷扬机、千斤顶等）连接，通过改变缆绳的受力调整沉井的平面位置、倾斜度等。常见</w:t>
      </w:r>
      <w:r>
        <w:t>定位系统的优缺点</w:t>
      </w:r>
      <w:r>
        <w:rPr>
          <w:rFonts w:hint="eastAsia"/>
        </w:rPr>
        <w:t>见</w:t>
      </w:r>
      <w:r>
        <w:t>下表：</w:t>
      </w:r>
      <w:bookmarkEnd w:id="481"/>
    </w:p>
    <w:p>
      <w:pPr>
        <w:ind w:firstLine="440"/>
        <w:jc w:val="center"/>
        <w:rPr>
          <w:color w:val="000000" w:themeColor="text1"/>
          <w14:textFill>
            <w14:solidFill>
              <w14:schemeClr w14:val="tx1"/>
            </w14:solidFill>
          </w14:textFill>
        </w:rPr>
      </w:pPr>
      <w:r>
        <w:rPr>
          <w:rStyle w:val="56"/>
          <w:rFonts w:hint="eastAsia"/>
          <w:color w:val="000000" w:themeColor="text1"/>
          <w14:textFill>
            <w14:solidFill>
              <w14:schemeClr w14:val="tx1"/>
            </w14:solidFill>
          </w14:textFill>
        </w:rPr>
        <w:t>表2</w:t>
      </w:r>
      <w:r>
        <w:rPr>
          <w:rStyle w:val="56"/>
          <w:color w:val="000000" w:themeColor="text1"/>
          <w14:textFill>
            <w14:solidFill>
              <w14:schemeClr w14:val="tx1"/>
            </w14:solidFill>
          </w14:textFill>
        </w:rPr>
        <w:t xml:space="preserve"> </w:t>
      </w:r>
      <w:r>
        <w:rPr>
          <w:rStyle w:val="56"/>
          <w:rFonts w:hint="eastAsia"/>
          <w:color w:val="000000" w:themeColor="text1"/>
          <w14:textFill>
            <w14:solidFill>
              <w14:schemeClr w14:val="tx1"/>
            </w14:solidFill>
          </w14:textFill>
        </w:rPr>
        <w:t>各类定位系统的优缺点</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3698"/>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pStyle w:val="59"/>
            </w:pPr>
            <w:r>
              <w:rPr>
                <w:rFonts w:hint="eastAsia"/>
              </w:rPr>
              <w:t>定位</w:t>
            </w:r>
            <w:r>
              <w:t>系统</w:t>
            </w:r>
          </w:p>
        </w:tc>
        <w:tc>
          <w:tcPr>
            <w:tcW w:w="3698" w:type="dxa"/>
          </w:tcPr>
          <w:p>
            <w:pPr>
              <w:pStyle w:val="59"/>
            </w:pPr>
            <w:r>
              <w:rPr>
                <w:rFonts w:hint="eastAsia"/>
              </w:rPr>
              <w:t>优点</w:t>
            </w:r>
          </w:p>
        </w:tc>
        <w:tc>
          <w:tcPr>
            <w:tcW w:w="2948" w:type="dxa"/>
          </w:tcPr>
          <w:p>
            <w:pPr>
              <w:pStyle w:val="59"/>
            </w:pPr>
            <w:r>
              <w:rPr>
                <w:rFonts w:hint="eastAsia"/>
              </w:rPr>
              <w:t>缺点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vAlign w:val="center"/>
          </w:tcPr>
          <w:p>
            <w:pPr>
              <w:pStyle w:val="59"/>
            </w:pPr>
            <w:r>
              <w:rPr>
                <w:rFonts w:hint="eastAsia"/>
              </w:rPr>
              <w:t>上下游锚墩定位系统</w:t>
            </w:r>
          </w:p>
        </w:tc>
        <w:tc>
          <w:tcPr>
            <w:tcW w:w="3698" w:type="dxa"/>
            <w:vAlign w:val="center"/>
          </w:tcPr>
          <w:p>
            <w:pPr>
              <w:pStyle w:val="59"/>
              <w:jc w:val="left"/>
            </w:pPr>
            <w:r>
              <w:rPr>
                <w:rFonts w:hint="eastAsia"/>
              </w:rPr>
              <w:t>①沉井定位精度较高；</w:t>
            </w:r>
          </w:p>
          <w:p>
            <w:pPr>
              <w:pStyle w:val="59"/>
              <w:jc w:val="left"/>
            </w:pPr>
            <w:r>
              <w:rPr>
                <w:rFonts w:hint="eastAsia"/>
              </w:rPr>
              <w:t>②上下游锚墩结构能降低过往船舶对沉井的撞击风险；</w:t>
            </w:r>
          </w:p>
          <w:p>
            <w:pPr>
              <w:pStyle w:val="59"/>
              <w:jc w:val="left"/>
            </w:pPr>
            <w:r>
              <w:rPr>
                <w:rFonts w:hint="eastAsia" w:ascii="宋体" w:hAnsi="宋体" w:cs="宋体"/>
              </w:rPr>
              <w:t>③</w:t>
            </w:r>
            <w:r>
              <w:rPr>
                <w:rFonts w:hint="eastAsia"/>
              </w:rPr>
              <w:t>锚墩距沉井较远，锚墩受沉井取土下沉影响小，结构安全性高。</w:t>
            </w:r>
          </w:p>
        </w:tc>
        <w:tc>
          <w:tcPr>
            <w:tcW w:w="2948" w:type="dxa"/>
            <w:vAlign w:val="center"/>
          </w:tcPr>
          <w:p>
            <w:pPr>
              <w:pStyle w:val="59"/>
              <w:jc w:val="left"/>
            </w:pPr>
            <w:r>
              <w:rPr>
                <w:rFonts w:hint="eastAsia"/>
              </w:rPr>
              <w:t>①施工水域占用面积较大；</w:t>
            </w:r>
          </w:p>
          <w:p>
            <w:pPr>
              <w:pStyle w:val="59"/>
              <w:jc w:val="left"/>
            </w:pPr>
            <w:r>
              <w:rPr>
                <w:rFonts w:hint="eastAsia"/>
              </w:rPr>
              <w:t>②锚墩距沉井较远，锚墩平台利用效率低。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vAlign w:val="center"/>
          </w:tcPr>
          <w:p>
            <w:pPr>
              <w:pStyle w:val="59"/>
            </w:pPr>
            <w:r>
              <w:rPr>
                <w:rFonts w:hint="eastAsia"/>
              </w:rPr>
              <w:t>四角锚墩定位系统</w:t>
            </w:r>
          </w:p>
        </w:tc>
        <w:tc>
          <w:tcPr>
            <w:tcW w:w="3698" w:type="dxa"/>
            <w:vAlign w:val="center"/>
          </w:tcPr>
          <w:p>
            <w:pPr>
              <w:pStyle w:val="59"/>
              <w:jc w:val="left"/>
            </w:pPr>
            <w:r>
              <w:rPr>
                <w:rFonts w:hint="eastAsia"/>
              </w:rPr>
              <w:t>①沉井定位精度较高；</w:t>
            </w:r>
          </w:p>
          <w:p>
            <w:pPr>
              <w:pStyle w:val="59"/>
              <w:jc w:val="left"/>
            </w:pPr>
            <w:r>
              <w:rPr>
                <w:rFonts w:hint="eastAsia"/>
              </w:rPr>
              <w:t>②锚墩距沉井较远，对沉井区域河床冲刷影响小；</w:t>
            </w:r>
          </w:p>
          <w:p>
            <w:pPr>
              <w:pStyle w:val="59"/>
              <w:jc w:val="left"/>
            </w:pPr>
            <w:r>
              <w:rPr>
                <w:rFonts w:hint="eastAsia"/>
              </w:rPr>
              <w:t>③锚墩距沉井较远，锚墩受沉井取土下沉影响小，结构安全性高。</w:t>
            </w:r>
          </w:p>
        </w:tc>
        <w:tc>
          <w:tcPr>
            <w:tcW w:w="2948" w:type="dxa"/>
            <w:vAlign w:val="center"/>
          </w:tcPr>
          <w:p>
            <w:pPr>
              <w:pStyle w:val="59"/>
              <w:jc w:val="left"/>
            </w:pPr>
            <w:r>
              <w:rPr>
                <w:rFonts w:hint="eastAsia"/>
              </w:rPr>
              <w:t>①施工水域占用面积大；</w:t>
            </w:r>
          </w:p>
          <w:p>
            <w:pPr>
              <w:pStyle w:val="59"/>
              <w:jc w:val="left"/>
            </w:pPr>
            <w:r>
              <w:rPr>
                <w:rFonts w:hint="eastAsia"/>
              </w:rPr>
              <w:t>②受交叉锚缆影响，施工船舶靠泊难；</w:t>
            </w:r>
          </w:p>
          <w:p>
            <w:pPr>
              <w:pStyle w:val="59"/>
              <w:jc w:val="left"/>
            </w:pPr>
            <w:r>
              <w:rPr>
                <w:rFonts w:hint="eastAsia"/>
              </w:rPr>
              <w:t>③锚墩距沉井较远，锚墩平台利用效率低。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vAlign w:val="center"/>
          </w:tcPr>
          <w:p>
            <w:pPr>
              <w:pStyle w:val="59"/>
            </w:pPr>
            <w:r>
              <w:rPr>
                <w:rFonts w:hint="eastAsia"/>
              </w:rPr>
              <w:t>拉靠墩定位系统</w:t>
            </w:r>
          </w:p>
        </w:tc>
        <w:tc>
          <w:tcPr>
            <w:tcW w:w="3698" w:type="dxa"/>
            <w:vAlign w:val="center"/>
          </w:tcPr>
          <w:p>
            <w:pPr>
              <w:pStyle w:val="59"/>
              <w:jc w:val="left"/>
            </w:pPr>
            <w:r>
              <w:rPr>
                <w:rFonts w:hint="eastAsia"/>
              </w:rPr>
              <w:t>①沉井定位精度较高；</w:t>
            </w:r>
          </w:p>
          <w:p>
            <w:pPr>
              <w:pStyle w:val="59"/>
              <w:jc w:val="left"/>
            </w:pPr>
            <w:r>
              <w:rPr>
                <w:rFonts w:hint="eastAsia"/>
              </w:rPr>
              <w:t>②上下游墩结构能降低过往船舶对沉井的撞击风险；</w:t>
            </w:r>
          </w:p>
          <w:p>
            <w:pPr>
              <w:pStyle w:val="59"/>
              <w:jc w:val="left"/>
            </w:pPr>
            <w:r>
              <w:rPr>
                <w:rFonts w:hint="eastAsia" w:ascii="宋体" w:hAnsi="宋体" w:cs="宋体"/>
              </w:rPr>
              <w:t>③</w:t>
            </w:r>
            <w:r>
              <w:rPr>
                <w:rFonts w:hint="eastAsia"/>
              </w:rPr>
              <w:t>下游</w:t>
            </w:r>
            <w:r>
              <w:t>靠</w:t>
            </w:r>
            <w:r>
              <w:rPr>
                <w:rFonts w:hint="eastAsia"/>
              </w:rPr>
              <w:t>墩距沉井较近，可兼作施工平台，靠墩平台利用效率高。</w:t>
            </w:r>
          </w:p>
        </w:tc>
        <w:tc>
          <w:tcPr>
            <w:tcW w:w="2948" w:type="dxa"/>
            <w:vAlign w:val="center"/>
          </w:tcPr>
          <w:p>
            <w:pPr>
              <w:pStyle w:val="59"/>
              <w:jc w:val="left"/>
            </w:pPr>
            <w:r>
              <w:rPr>
                <w:rFonts w:hint="eastAsia"/>
              </w:rPr>
              <w:t>①施工水域占用面积较大；</w:t>
            </w:r>
          </w:p>
          <w:p>
            <w:pPr>
              <w:pStyle w:val="59"/>
              <w:jc w:val="left"/>
            </w:pPr>
            <w:r>
              <w:rPr>
                <w:rFonts w:hint="eastAsia"/>
              </w:rPr>
              <w:t>②下游靠墩距沉井较近，靠墩受沉井取土下沉影响大，结构安全风险高。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vAlign w:val="center"/>
          </w:tcPr>
          <w:p>
            <w:pPr>
              <w:pStyle w:val="59"/>
            </w:pPr>
            <w:r>
              <w:rPr>
                <w:rFonts w:hint="eastAsia"/>
              </w:rPr>
              <w:t>定位船定位系统</w:t>
            </w:r>
          </w:p>
        </w:tc>
        <w:tc>
          <w:tcPr>
            <w:tcW w:w="3698" w:type="dxa"/>
            <w:vAlign w:val="center"/>
          </w:tcPr>
          <w:p>
            <w:pPr>
              <w:pStyle w:val="59"/>
              <w:jc w:val="left"/>
            </w:pPr>
            <w:r>
              <w:rPr>
                <w:rFonts w:hint="eastAsia"/>
              </w:rPr>
              <w:t>①自身稳定性及调节能力较强；</w:t>
            </w:r>
          </w:p>
          <w:p>
            <w:pPr>
              <w:pStyle w:val="59"/>
              <w:jc w:val="left"/>
            </w:pPr>
            <w:r>
              <w:rPr>
                <w:rFonts w:hint="eastAsia"/>
              </w:rPr>
              <w:t>②能抵抗水流力、风浪力及船舶的撞击能力强</w:t>
            </w:r>
          </w:p>
        </w:tc>
        <w:tc>
          <w:tcPr>
            <w:tcW w:w="2948" w:type="dxa"/>
            <w:vAlign w:val="center"/>
          </w:tcPr>
          <w:p>
            <w:pPr>
              <w:pStyle w:val="59"/>
              <w:jc w:val="left"/>
            </w:pPr>
            <w:r>
              <w:rPr>
                <w:rFonts w:hint="eastAsia"/>
              </w:rPr>
              <w:t>①施工水域占用面积大；</w:t>
            </w:r>
          </w:p>
          <w:p>
            <w:pPr>
              <w:pStyle w:val="59"/>
              <w:jc w:val="left"/>
            </w:pPr>
            <w:r>
              <w:rPr>
                <w:rFonts w:hint="eastAsia"/>
              </w:rPr>
              <w:t>②受交叉锚缆影响，施工船舶靠泊难。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vAlign w:val="center"/>
          </w:tcPr>
          <w:p>
            <w:pPr>
              <w:pStyle w:val="59"/>
            </w:pPr>
            <w:r>
              <w:rPr>
                <w:rFonts w:hint="eastAsia"/>
              </w:rPr>
              <w:t>锚桩</w:t>
            </w:r>
            <w:r>
              <w:t>定位系统</w:t>
            </w:r>
          </w:p>
        </w:tc>
        <w:tc>
          <w:tcPr>
            <w:tcW w:w="3698" w:type="dxa"/>
            <w:vAlign w:val="center"/>
          </w:tcPr>
          <w:p>
            <w:pPr>
              <w:pStyle w:val="59"/>
              <w:jc w:val="left"/>
            </w:pPr>
            <w:r>
              <w:rPr>
                <w:rFonts w:hint="eastAsia"/>
              </w:rPr>
              <w:t>①施工快捷，成本低；</w:t>
            </w:r>
          </w:p>
          <w:p>
            <w:pPr>
              <w:pStyle w:val="59"/>
              <w:jc w:val="left"/>
            </w:pPr>
            <w:r>
              <w:rPr>
                <w:rFonts w:hint="eastAsia"/>
              </w:rPr>
              <w:t>②卷扬系统布置在沉井或船舶上，锚桩位置无需大面积操作平台。</w:t>
            </w:r>
          </w:p>
        </w:tc>
        <w:tc>
          <w:tcPr>
            <w:tcW w:w="2948" w:type="dxa"/>
            <w:vAlign w:val="center"/>
          </w:tcPr>
          <w:p>
            <w:pPr>
              <w:pStyle w:val="59"/>
              <w:jc w:val="left"/>
            </w:pPr>
            <w:r>
              <w:rPr>
                <w:rFonts w:hint="eastAsia"/>
              </w:rPr>
              <w:t>①单桩抵抗水平荷载能力较弱，需增大桩径、入土深度。</w:t>
            </w:r>
          </w:p>
        </w:tc>
      </w:tr>
    </w:tbl>
    <w:p>
      <w:pPr>
        <w:pStyle w:val="4"/>
        <w:numPr>
          <w:ilvl w:val="0"/>
          <w:numId w:val="0"/>
        </w:numPr>
      </w:pPr>
      <w:bookmarkStart w:id="482" w:name="_Toc77763631"/>
      <w:r>
        <w:rPr>
          <w:b/>
        </w:rPr>
        <w:t xml:space="preserve">5.5.6  </w:t>
      </w:r>
      <w:r>
        <w:rPr>
          <w:rFonts w:hint="eastAsia"/>
        </w:rPr>
        <w:t>一般采取向隔舱内注水的方法使沉井快速着床，河床在沉井施工期受水流冲刷较大时，应根据冲刷计算结果，对不同部位隔舱注入不同体积的水，避免沉井在下沉初期产生较大的倾斜。</w:t>
      </w:r>
      <w:bookmarkEnd w:id="482"/>
    </w:p>
    <w:p>
      <w:pPr>
        <w:pStyle w:val="3"/>
        <w:numPr>
          <w:ilvl w:val="0"/>
          <w:numId w:val="0"/>
        </w:numPr>
        <w:spacing w:before="312"/>
      </w:pPr>
      <w:bookmarkStart w:id="483" w:name="_Toc77763633"/>
      <w:bookmarkStart w:id="484" w:name="_Toc112317355"/>
      <w:r>
        <w:t xml:space="preserve">5.7 </w:t>
      </w:r>
      <w:r>
        <w:rPr>
          <w:rFonts w:hint="eastAsia"/>
        </w:rPr>
        <w:t>隔舱混凝土浇筑</w:t>
      </w:r>
      <w:bookmarkEnd w:id="483"/>
      <w:bookmarkEnd w:id="484"/>
    </w:p>
    <w:p>
      <w:pPr>
        <w:pStyle w:val="4"/>
        <w:numPr>
          <w:ilvl w:val="0"/>
          <w:numId w:val="0"/>
        </w:numPr>
      </w:pPr>
      <w:bookmarkStart w:id="485" w:name="_Toc77763634"/>
      <w:r>
        <w:rPr>
          <w:b/>
        </w:rPr>
        <w:t xml:space="preserve">5.7.4  </w:t>
      </w:r>
      <w:r>
        <w:rPr>
          <w:rFonts w:hint="eastAsia"/>
        </w:rPr>
        <w:t>为防止侧压力超过结构承受压力允许值，需要控制隔舱混凝土的浇筑速度和单次浇筑高度以减小侧压力；水下浇筑某一隔舱内的隔舱混凝土时，隔舱内水面会升高，侧压力计算要考虑水面升高的影响；当混凝土侧压力大于隔舱板承受压力允许值时，可以在向相邻的隔舱内注水，以平衡混凝土对隔舱板的侧压力。</w:t>
      </w:r>
      <w:bookmarkEnd w:id="485"/>
    </w:p>
    <w:p>
      <w:pPr>
        <w:pStyle w:val="4"/>
        <w:numPr>
          <w:ilvl w:val="0"/>
          <w:numId w:val="0"/>
        </w:numPr>
      </w:pPr>
      <w:bookmarkStart w:id="486" w:name="_Toc77763635"/>
      <w:r>
        <w:rPr>
          <w:b/>
        </w:rPr>
        <w:t>5</w:t>
      </w:r>
      <w:r>
        <w:rPr>
          <w:rFonts w:hint="eastAsia"/>
          <w:b/>
        </w:rPr>
        <w:t>.7.5</w:t>
      </w:r>
      <w:r>
        <w:rPr>
          <w:b/>
        </w:rPr>
        <w:t xml:space="preserve">  </w:t>
      </w:r>
      <w:r>
        <w:rPr>
          <w:rFonts w:hint="eastAsia"/>
        </w:rPr>
        <w:t>水下特殊性能混凝土及灌注工艺必须进行专题试验研究并检测合格，该专题经评审通过后方可实施。</w:t>
      </w:r>
      <w:bookmarkEnd w:id="486"/>
    </w:p>
    <w:p>
      <w:pPr>
        <w:pStyle w:val="3"/>
        <w:numPr>
          <w:ilvl w:val="0"/>
          <w:numId w:val="0"/>
        </w:numPr>
        <w:spacing w:before="312"/>
      </w:pPr>
      <w:bookmarkStart w:id="487" w:name="_Toc77763636"/>
      <w:bookmarkStart w:id="488" w:name="_Toc112317356"/>
      <w:r>
        <w:t xml:space="preserve">5.9 </w:t>
      </w:r>
      <w:r>
        <w:rPr>
          <w:rFonts w:hint="eastAsia"/>
        </w:rPr>
        <w:t>沉井下沉施工</w:t>
      </w:r>
      <w:bookmarkEnd w:id="487"/>
      <w:bookmarkEnd w:id="488"/>
    </w:p>
    <w:p>
      <w:pPr>
        <w:pStyle w:val="4"/>
        <w:numPr>
          <w:ilvl w:val="0"/>
          <w:numId w:val="0"/>
        </w:numPr>
      </w:pPr>
      <w:bookmarkStart w:id="489" w:name="_Toc77763637"/>
      <w:r>
        <w:rPr>
          <w:b/>
        </w:rPr>
        <w:t xml:space="preserve">5.9.4  </w:t>
      </w:r>
      <w:r>
        <w:rPr>
          <w:rFonts w:hint="eastAsia"/>
        </w:rPr>
        <w:t>中密粉砂、中密细砂，宜采用气举取土工艺进行取土；密实细砂、密实中粗砂，宜采用水力破土结合气举取土工艺，首先采用高压射水进行破土，再由气举取土设备完成取土；胶结砂层，宜采用机械破土结合气举取土工艺，首先采用绞刀设备进行胶结砂层破土，再由气举取土设备完成取土；软塑粉质黏土，宜采用机械破土结合水力取土和气举取土工艺，首先采用绞刀设备进行黏土破土，再由气举取土设备完成取土，同时辅助采用水力破土取土；沉井的局部取土盲区或下沉困难时，</w:t>
      </w:r>
      <w:r>
        <w:rPr>
          <w:rFonts w:hint="eastAsia"/>
          <w:szCs w:val="24"/>
        </w:rPr>
        <w:t>宜采</w:t>
      </w:r>
      <w:r>
        <w:rPr>
          <w:rFonts w:hint="eastAsia"/>
        </w:rPr>
        <w:t>用定点破土结合气举取土工艺，首先采用定点破土设备进行定点精准破土，再由气举取土设备完成取土。</w:t>
      </w:r>
      <w:bookmarkEnd w:id="489"/>
    </w:p>
    <w:p>
      <w:pPr>
        <w:ind w:firstLine="480"/>
        <w:sectPr>
          <w:pgSz w:w="11906" w:h="16838"/>
          <w:pgMar w:top="1440" w:right="1800" w:bottom="1440" w:left="1800" w:header="851" w:footer="992" w:gutter="0"/>
          <w:cols w:space="425" w:num="1"/>
          <w:docGrid w:type="lines" w:linePitch="312" w:charSpace="0"/>
        </w:sectPr>
      </w:pPr>
    </w:p>
    <w:p>
      <w:pPr>
        <w:pStyle w:val="2"/>
        <w:numPr>
          <w:ilvl w:val="0"/>
          <w:numId w:val="0"/>
        </w:numPr>
      </w:pPr>
      <w:bookmarkStart w:id="490" w:name="_Toc112317357"/>
      <w:r>
        <w:rPr>
          <w:b/>
          <w:bCs w:val="0"/>
        </w:rPr>
        <w:t>6</w:t>
      </w:r>
      <w:r>
        <w:t xml:space="preserve"> </w:t>
      </w:r>
      <w:r>
        <w:rPr>
          <w:rFonts w:hint="eastAsia"/>
        </w:rPr>
        <w:t>施工监测与控制</w:t>
      </w:r>
      <w:bookmarkEnd w:id="490"/>
    </w:p>
    <w:p>
      <w:pPr>
        <w:pStyle w:val="3"/>
        <w:numPr>
          <w:ilvl w:val="0"/>
          <w:numId w:val="0"/>
        </w:numPr>
        <w:spacing w:before="312"/>
      </w:pPr>
      <w:bookmarkStart w:id="491" w:name="_Toc71191951"/>
      <w:bookmarkStart w:id="492" w:name="_Toc77763639"/>
      <w:bookmarkStart w:id="493" w:name="_Toc112317358"/>
      <w:r>
        <w:t xml:space="preserve">6.1 </w:t>
      </w:r>
      <w:r>
        <w:rPr>
          <w:rFonts w:hint="eastAsia"/>
        </w:rPr>
        <w:t>一般规定</w:t>
      </w:r>
      <w:bookmarkEnd w:id="491"/>
      <w:bookmarkEnd w:id="492"/>
      <w:bookmarkEnd w:id="493"/>
    </w:p>
    <w:p>
      <w:pPr>
        <w:pStyle w:val="4"/>
        <w:numPr>
          <w:ilvl w:val="0"/>
          <w:numId w:val="0"/>
        </w:numPr>
      </w:pPr>
      <w:r>
        <w:rPr>
          <w:b/>
        </w:rPr>
        <w:t xml:space="preserve">6.1.1  </w:t>
      </w:r>
      <w:r>
        <w:rPr>
          <w:rFonts w:hint="eastAsia"/>
        </w:rPr>
        <w:t>周边环境监测：</w:t>
      </w:r>
    </w:p>
    <w:p>
      <w:pPr>
        <w:ind w:firstLine="482"/>
      </w:pPr>
      <w:r>
        <w:rPr>
          <w:b/>
          <w:bCs/>
        </w:rPr>
        <w:t>1</w:t>
      </w:r>
      <w:r>
        <w:t xml:space="preserve">  </w:t>
      </w:r>
      <w:r>
        <w:rPr>
          <w:rFonts w:hint="eastAsia"/>
        </w:rPr>
        <w:t>坑外地层变形：基坑工程对周围环境的影响范围大约有</w:t>
      </w:r>
      <w:r>
        <w:t>1</w:t>
      </w:r>
      <w:r>
        <w:rPr>
          <w:rFonts w:hint="eastAsia"/>
        </w:rPr>
        <w:t>倍</w:t>
      </w:r>
      <w:r>
        <w:t>~2</w:t>
      </w:r>
      <w:r>
        <w:rPr>
          <w:rFonts w:hint="eastAsia"/>
        </w:rPr>
        <w:t>倍的基坑开挖深度，监测点考虑在这个范围内进行布置；</w:t>
      </w:r>
    </w:p>
    <w:p>
      <w:pPr>
        <w:ind w:firstLine="482"/>
      </w:pPr>
      <w:r>
        <w:rPr>
          <w:b/>
          <w:bCs/>
        </w:rPr>
        <w:t>2</w:t>
      </w:r>
      <w:r>
        <w:t xml:space="preserve">  </w:t>
      </w:r>
      <w:r>
        <w:rPr>
          <w:rFonts w:hint="eastAsia"/>
        </w:rPr>
        <w:t>临近建</w:t>
      </w:r>
      <w:r>
        <w:t>(</w:t>
      </w:r>
      <w:r>
        <w:rPr>
          <w:rFonts w:hint="eastAsia"/>
        </w:rPr>
        <w:t>构</w:t>
      </w:r>
      <w:r>
        <w:t>)</w:t>
      </w:r>
      <w:r>
        <w:rPr>
          <w:rFonts w:hint="eastAsia"/>
        </w:rPr>
        <w:t>筑物变形：建筑物变形监测的主要内容有建筑物的沉降监测、建筑物的倾斜监测和建筑物的裂缝监测；</w:t>
      </w:r>
    </w:p>
    <w:p>
      <w:pPr>
        <w:ind w:firstLine="482"/>
      </w:pPr>
      <w:r>
        <w:rPr>
          <w:b/>
          <w:bCs/>
        </w:rPr>
        <w:t>3</w:t>
      </w:r>
      <w:r>
        <w:t xml:space="preserve">  </w:t>
      </w:r>
      <w:r>
        <w:rPr>
          <w:rFonts w:hint="eastAsia"/>
        </w:rPr>
        <w:t>临近地下管线沉降与位移监测：地下管道根据其材料性能和接头构造可分为刚性管道和柔性管道。其中煤气管和自来水管是刚性压力管道，是监测的重点。测点的布置优先考虑煤气管和自来水管，它们是刚性压力管，对差异沉降较敏感</w:t>
      </w:r>
      <w:r>
        <w:t>,</w:t>
      </w:r>
      <w:r>
        <w:rPr>
          <w:rFonts w:hint="eastAsia"/>
        </w:rPr>
        <w:t>接头处是薄弱环节；测点的埋设方式采用间接测点是将测点埋设在管线轴线相对应的地表。</w:t>
      </w:r>
    </w:p>
    <w:p>
      <w:pPr>
        <w:pStyle w:val="4"/>
        <w:numPr>
          <w:ilvl w:val="0"/>
          <w:numId w:val="0"/>
        </w:numPr>
      </w:pPr>
      <w:r>
        <w:rPr>
          <w:b/>
        </w:rPr>
        <w:t xml:space="preserve">6.1.9  </w:t>
      </w:r>
      <w:r>
        <w:rPr>
          <w:rFonts w:hint="eastAsia"/>
        </w:rPr>
        <w:t>传感器不宜采用电阻式传感器，传感器使用前应进行标定。</w:t>
      </w:r>
    </w:p>
    <w:p>
      <w:pPr>
        <w:pStyle w:val="3"/>
        <w:numPr>
          <w:ilvl w:val="0"/>
          <w:numId w:val="0"/>
        </w:numPr>
        <w:spacing w:before="312"/>
      </w:pPr>
      <w:bookmarkStart w:id="494" w:name="_Toc71191952"/>
      <w:bookmarkStart w:id="495" w:name="_Toc77763640"/>
      <w:bookmarkStart w:id="496" w:name="_Toc112317359"/>
      <w:r>
        <w:t xml:space="preserve">6.2 </w:t>
      </w:r>
      <w:r>
        <w:rPr>
          <w:rFonts w:hint="eastAsia"/>
        </w:rPr>
        <w:t>监测与报警</w:t>
      </w:r>
      <w:bookmarkEnd w:id="494"/>
      <w:bookmarkEnd w:id="495"/>
      <w:bookmarkEnd w:id="496"/>
    </w:p>
    <w:p>
      <w:pPr>
        <w:pStyle w:val="4"/>
        <w:numPr>
          <w:ilvl w:val="0"/>
          <w:numId w:val="0"/>
        </w:numPr>
      </w:pPr>
      <w:r>
        <w:rPr>
          <w:b/>
        </w:rPr>
        <w:t xml:space="preserve">6.2.2  </w:t>
      </w:r>
      <w:r>
        <w:rPr>
          <w:rFonts w:hint="eastAsia"/>
        </w:rPr>
        <w:t>根据固定间隔时差的下沉深度差计算得到下沉速率，应保证其在容许的控制范围之内。在接高前后和下沉到位前需要对下沉深度和下沉速率进行测量控制。</w:t>
      </w:r>
    </w:p>
    <w:p>
      <w:pPr>
        <w:pStyle w:val="4"/>
        <w:numPr>
          <w:ilvl w:val="0"/>
          <w:numId w:val="0"/>
        </w:numPr>
      </w:pPr>
      <w:r>
        <w:rPr>
          <w:b/>
        </w:rPr>
        <w:t xml:space="preserve">6.2.6  </w:t>
      </w:r>
      <w:r>
        <w:rPr>
          <w:rFonts w:hint="eastAsia"/>
        </w:rPr>
        <w:t>建（构）筑物监测内容为垂直位移、水平位移、倾斜、裂缝等，地下管线监测内容为垂直位移、水平位移，地表监测内容为垂直位移、裂缝。</w:t>
      </w:r>
    </w:p>
    <w:p>
      <w:pPr>
        <w:pStyle w:val="61"/>
        <w:ind w:firstLine="0" w:firstLineChars="0"/>
        <w:rPr>
          <w:rFonts w:cs="Times New Roman" w:eastAsiaTheme="minor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imes New Roman,Bold">
    <w:altName w:val="宋体"/>
    <w:panose1 w:val="00000000000000000000"/>
    <w:charset w:val="86"/>
    <w:family w:val="auto"/>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p>
  <w:p>
    <w:pPr>
      <w:pStyle w:val="1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420"/>
      <w:jc w:val="right"/>
      <w:rPr>
        <w:rFonts w:cs="Times New Roman"/>
        <w:sz w:val="21"/>
      </w:rPr>
    </w:pPr>
  </w:p>
  <w:p>
    <w:pPr>
      <w:pStyle w:val="16"/>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3565685"/>
      <w:docPartObj>
        <w:docPartGallery w:val="autotext"/>
      </w:docPartObj>
    </w:sdtPr>
    <w:sdtEndPr>
      <w:rPr>
        <w:rFonts w:cs="Times New Roman"/>
        <w:sz w:val="21"/>
      </w:rPr>
    </w:sdtEndPr>
    <w:sdtContent>
      <w:p>
        <w:pPr>
          <w:pStyle w:val="16"/>
          <w:ind w:firstLine="360"/>
          <w:rPr>
            <w:rFonts w:cs="Times New Roman"/>
            <w:sz w:val="21"/>
          </w:rPr>
        </w:pPr>
        <w:r>
          <w:rPr>
            <w:rFonts w:cs="Times New Roman"/>
            <w:sz w:val="21"/>
          </w:rPr>
          <w:fldChar w:fldCharType="begin"/>
        </w:r>
        <w:r>
          <w:rPr>
            <w:rFonts w:cs="Times New Roman"/>
            <w:sz w:val="21"/>
          </w:rPr>
          <w:instrText xml:space="preserve">PAGE   \* MERGEFORMAT</w:instrText>
        </w:r>
        <w:r>
          <w:rPr>
            <w:rFonts w:cs="Times New Roman"/>
            <w:sz w:val="21"/>
          </w:rPr>
          <w:fldChar w:fldCharType="separate"/>
        </w:r>
        <w:r>
          <w:rPr>
            <w:rFonts w:cs="Times New Roman"/>
            <w:sz w:val="21"/>
            <w:lang w:val="zh-CN"/>
          </w:rPr>
          <w:t>27</w:t>
        </w:r>
        <w:r>
          <w:rPr>
            <w:rFonts w:cs="Times New Roman"/>
            <w:sz w:val="21"/>
          </w:rPr>
          <w:fldChar w:fldCharType="end"/>
        </w:r>
      </w:p>
    </w:sdtContent>
  </w:sdt>
  <w:p>
    <w:pPr>
      <w:pStyle w:val="16"/>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6576392"/>
      <w:docPartObj>
        <w:docPartGallery w:val="autotext"/>
      </w:docPartObj>
    </w:sdtPr>
    <w:sdtEndPr>
      <w:rPr>
        <w:rFonts w:cs="Times New Roman"/>
        <w:sz w:val="21"/>
      </w:rPr>
    </w:sdtEndPr>
    <w:sdtContent>
      <w:p>
        <w:pPr>
          <w:pStyle w:val="16"/>
          <w:ind w:firstLine="360"/>
          <w:jc w:val="right"/>
          <w:rPr>
            <w:rFonts w:cs="Times New Roman"/>
            <w:sz w:val="21"/>
          </w:rPr>
        </w:pPr>
        <w:r>
          <w:rPr>
            <w:rFonts w:cs="Times New Roman"/>
            <w:sz w:val="21"/>
          </w:rPr>
          <w:fldChar w:fldCharType="begin"/>
        </w:r>
        <w:r>
          <w:rPr>
            <w:rFonts w:cs="Times New Roman"/>
            <w:sz w:val="21"/>
          </w:rPr>
          <w:instrText xml:space="preserve">PAGE   \* MERGEFORMAT</w:instrText>
        </w:r>
        <w:r>
          <w:rPr>
            <w:rFonts w:cs="Times New Roman"/>
            <w:sz w:val="21"/>
          </w:rPr>
          <w:fldChar w:fldCharType="separate"/>
        </w:r>
        <w:r>
          <w:rPr>
            <w:rFonts w:cs="Times New Roman"/>
            <w:sz w:val="21"/>
            <w:lang w:val="zh-CN"/>
          </w:rPr>
          <w:t>4</w:t>
        </w:r>
        <w:r>
          <w:rPr>
            <w:rFonts w:cs="Times New Roman"/>
            <w:sz w:val="21"/>
          </w:rPr>
          <w:fldChar w:fldCharType="end"/>
        </w:r>
      </w:p>
    </w:sdtContent>
  </w:sdt>
  <w:p>
    <w:pPr>
      <w:pStyle w:val="16"/>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9925022"/>
      <w:docPartObj>
        <w:docPartGallery w:val="autotext"/>
      </w:docPartObj>
    </w:sdtPr>
    <w:sdtEndPr>
      <w:rPr>
        <w:rFonts w:cs="Times New Roman"/>
        <w:sz w:val="21"/>
      </w:rPr>
    </w:sdtEndPr>
    <w:sdtContent>
      <w:p>
        <w:pPr>
          <w:pStyle w:val="16"/>
          <w:ind w:firstLine="360"/>
          <w:jc w:val="right"/>
          <w:rPr>
            <w:rFonts w:cs="Times New Roman"/>
            <w:sz w:val="21"/>
          </w:rPr>
        </w:pPr>
        <w:r>
          <w:rPr>
            <w:rFonts w:cs="Times New Roman"/>
            <w:sz w:val="21"/>
          </w:rPr>
          <w:fldChar w:fldCharType="begin"/>
        </w:r>
        <w:r>
          <w:rPr>
            <w:rFonts w:cs="Times New Roman"/>
            <w:sz w:val="21"/>
          </w:rPr>
          <w:instrText xml:space="preserve">PAGE   \* MERGEFORMAT</w:instrText>
        </w:r>
        <w:r>
          <w:rPr>
            <w:rFonts w:cs="Times New Roman"/>
            <w:sz w:val="21"/>
          </w:rPr>
          <w:fldChar w:fldCharType="separate"/>
        </w:r>
        <w:r>
          <w:rPr>
            <w:rFonts w:cs="Times New Roman"/>
            <w:sz w:val="21"/>
            <w:lang w:val="zh-CN"/>
          </w:rPr>
          <w:t>28</w:t>
        </w:r>
        <w:r>
          <w:rPr>
            <w:rFonts w:cs="Times New Roman"/>
            <w:sz w:val="21"/>
          </w:rPr>
          <w:fldChar w:fldCharType="end"/>
        </w:r>
      </w:p>
    </w:sdtContent>
  </w:sdt>
  <w:p>
    <w:pPr>
      <w:pStyle w:val="16"/>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2981070"/>
      <w:docPartObj>
        <w:docPartGallery w:val="autotext"/>
      </w:docPartObj>
    </w:sdtPr>
    <w:sdtEndPr>
      <w:rPr>
        <w:rFonts w:cs="Times New Roman"/>
        <w:sz w:val="21"/>
      </w:rPr>
    </w:sdtEndPr>
    <w:sdtContent>
      <w:p>
        <w:pPr>
          <w:pStyle w:val="16"/>
          <w:ind w:firstLine="360"/>
          <w:rPr>
            <w:rFonts w:cs="Times New Roman"/>
            <w:sz w:val="21"/>
          </w:rPr>
        </w:pPr>
        <w:r>
          <w:rPr>
            <w:rFonts w:cs="Times New Roman"/>
            <w:sz w:val="21"/>
          </w:rPr>
          <w:fldChar w:fldCharType="begin"/>
        </w:r>
        <w:r>
          <w:rPr>
            <w:rFonts w:cs="Times New Roman"/>
            <w:sz w:val="21"/>
          </w:rPr>
          <w:instrText xml:space="preserve">PAGE   \* MERGEFORMAT</w:instrText>
        </w:r>
        <w:r>
          <w:rPr>
            <w:rFonts w:cs="Times New Roman"/>
            <w:sz w:val="21"/>
          </w:rPr>
          <w:fldChar w:fldCharType="separate"/>
        </w:r>
        <w:r>
          <w:rPr>
            <w:rFonts w:cs="Times New Roman"/>
            <w:sz w:val="21"/>
            <w:lang w:val="zh-CN"/>
          </w:rPr>
          <w:t>45</w:t>
        </w:r>
        <w:r>
          <w:rPr>
            <w:rFonts w:cs="Times New Roman"/>
            <w:sz w:val="21"/>
          </w:rPr>
          <w:fldChar w:fldCharType="end"/>
        </w:r>
      </w:p>
    </w:sdtContent>
  </w:sdt>
  <w:p>
    <w:pPr>
      <w:pStyle w:val="1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C5717A"/>
    <w:multiLevelType w:val="multilevel"/>
    <w:tmpl w:val="2AC5717A"/>
    <w:lvl w:ilvl="0" w:tentative="0">
      <w:start w:val="1"/>
      <w:numFmt w:val="decimal"/>
      <w:pStyle w:val="2"/>
      <w:suff w:val="space"/>
      <w:lvlText w:val="%1 "/>
      <w:lvlJc w:val="center"/>
      <w:pPr>
        <w:ind w:left="420" w:hanging="420"/>
      </w:pPr>
      <w:rPr>
        <w:rFonts w:hint="eastAsia"/>
        <w:b/>
        <w:i w:val="0"/>
      </w:rPr>
    </w:lvl>
    <w:lvl w:ilvl="1" w:tentative="0">
      <w:start w:val="1"/>
      <w:numFmt w:val="decimal"/>
      <w:pStyle w:val="3"/>
      <w:suff w:val="space"/>
      <w:lvlText w:val="%1.%2 "/>
      <w:lvlJc w:val="center"/>
      <w:pPr>
        <w:ind w:left="992" w:hanging="992"/>
      </w:pPr>
      <w:rPr>
        <w:rFonts w:hint="eastAsia"/>
      </w:rPr>
    </w:lvl>
    <w:lvl w:ilvl="2" w:tentative="0">
      <w:start w:val="1"/>
      <w:numFmt w:val="decimal"/>
      <w:pStyle w:val="4"/>
      <w:suff w:val="space"/>
      <w:lvlText w:val="%1.%2.%3  "/>
      <w:lvlJc w:val="left"/>
      <w:pPr>
        <w:ind w:left="1985" w:hanging="1418"/>
      </w:pPr>
      <w:rPr>
        <w:rFonts w:hint="eastAsia"/>
        <w:b/>
        <w:i w:val="0"/>
      </w:rPr>
    </w:lvl>
    <w:lvl w:ilvl="3" w:tentative="0">
      <w:start w:val="1"/>
      <w:numFmt w:val="decimal"/>
      <w:pStyle w:val="5"/>
      <w:suff w:val="space"/>
      <w:lvlText w:val="%4  "/>
      <w:lvlJc w:val="left"/>
      <w:pPr>
        <w:ind w:left="1984" w:hanging="1984"/>
      </w:pPr>
      <w:rPr>
        <w:rFonts w:hint="eastAsia"/>
        <w:b/>
        <w:i w:val="0"/>
      </w:rPr>
    </w:lvl>
    <w:lvl w:ilvl="4" w:tentative="0">
      <w:start w:val="1"/>
      <w:numFmt w:val="decimal"/>
      <w:pStyle w:val="6"/>
      <w:suff w:val="nothing"/>
      <w:lvlText w:val="%5）"/>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ZjMzE4OTBkYTkwZjY1Zjg5ZDRmMmIwNjE3NmRlOTIifQ=="/>
  </w:docVars>
  <w:rsids>
    <w:rsidRoot w:val="009E218B"/>
    <w:rsid w:val="00002E5A"/>
    <w:rsid w:val="000036A2"/>
    <w:rsid w:val="00003D50"/>
    <w:rsid w:val="0000456C"/>
    <w:rsid w:val="00006FEC"/>
    <w:rsid w:val="00007924"/>
    <w:rsid w:val="00007FF1"/>
    <w:rsid w:val="000114F6"/>
    <w:rsid w:val="00012A68"/>
    <w:rsid w:val="00013B53"/>
    <w:rsid w:val="00016899"/>
    <w:rsid w:val="0002237C"/>
    <w:rsid w:val="00023223"/>
    <w:rsid w:val="0002417A"/>
    <w:rsid w:val="00025F89"/>
    <w:rsid w:val="000309F9"/>
    <w:rsid w:val="000335D3"/>
    <w:rsid w:val="00033FF6"/>
    <w:rsid w:val="00034F56"/>
    <w:rsid w:val="000355B5"/>
    <w:rsid w:val="0003619D"/>
    <w:rsid w:val="00037322"/>
    <w:rsid w:val="000402DD"/>
    <w:rsid w:val="0004254C"/>
    <w:rsid w:val="00046208"/>
    <w:rsid w:val="000463B9"/>
    <w:rsid w:val="000475AC"/>
    <w:rsid w:val="000547D3"/>
    <w:rsid w:val="000560FD"/>
    <w:rsid w:val="000566C9"/>
    <w:rsid w:val="00056744"/>
    <w:rsid w:val="00061845"/>
    <w:rsid w:val="00062C28"/>
    <w:rsid w:val="00066331"/>
    <w:rsid w:val="00070C42"/>
    <w:rsid w:val="00070D58"/>
    <w:rsid w:val="00070F00"/>
    <w:rsid w:val="00071123"/>
    <w:rsid w:val="00071732"/>
    <w:rsid w:val="00072086"/>
    <w:rsid w:val="00075201"/>
    <w:rsid w:val="0007618D"/>
    <w:rsid w:val="000808BE"/>
    <w:rsid w:val="00082FB1"/>
    <w:rsid w:val="0008329F"/>
    <w:rsid w:val="00083B69"/>
    <w:rsid w:val="000846D6"/>
    <w:rsid w:val="00085D4A"/>
    <w:rsid w:val="00086A7D"/>
    <w:rsid w:val="000945CA"/>
    <w:rsid w:val="0009596A"/>
    <w:rsid w:val="000965C9"/>
    <w:rsid w:val="00096E7D"/>
    <w:rsid w:val="000A07A8"/>
    <w:rsid w:val="000A71A3"/>
    <w:rsid w:val="000A7D5E"/>
    <w:rsid w:val="000B02E2"/>
    <w:rsid w:val="000B11F1"/>
    <w:rsid w:val="000B5C7F"/>
    <w:rsid w:val="000B6F17"/>
    <w:rsid w:val="000C022E"/>
    <w:rsid w:val="000C0EA2"/>
    <w:rsid w:val="000C19AE"/>
    <w:rsid w:val="000C1E34"/>
    <w:rsid w:val="000C304F"/>
    <w:rsid w:val="000C4252"/>
    <w:rsid w:val="000C5FC4"/>
    <w:rsid w:val="000C6136"/>
    <w:rsid w:val="000C6280"/>
    <w:rsid w:val="000C6571"/>
    <w:rsid w:val="000C7074"/>
    <w:rsid w:val="000D05DE"/>
    <w:rsid w:val="000D075D"/>
    <w:rsid w:val="000D0922"/>
    <w:rsid w:val="000D0D4A"/>
    <w:rsid w:val="000D1A7B"/>
    <w:rsid w:val="000D20FE"/>
    <w:rsid w:val="000D2292"/>
    <w:rsid w:val="000D23FC"/>
    <w:rsid w:val="000D692B"/>
    <w:rsid w:val="000E1FA7"/>
    <w:rsid w:val="000E2F2B"/>
    <w:rsid w:val="000E2F3A"/>
    <w:rsid w:val="000E30C0"/>
    <w:rsid w:val="000E5CE2"/>
    <w:rsid w:val="000F3AEC"/>
    <w:rsid w:val="000F51DE"/>
    <w:rsid w:val="000F66D0"/>
    <w:rsid w:val="000F73E2"/>
    <w:rsid w:val="00100272"/>
    <w:rsid w:val="001010E9"/>
    <w:rsid w:val="0010160A"/>
    <w:rsid w:val="001026CE"/>
    <w:rsid w:val="00102A2F"/>
    <w:rsid w:val="00103C39"/>
    <w:rsid w:val="00103DF6"/>
    <w:rsid w:val="00104E6C"/>
    <w:rsid w:val="001055E8"/>
    <w:rsid w:val="00106B39"/>
    <w:rsid w:val="00107541"/>
    <w:rsid w:val="001075DD"/>
    <w:rsid w:val="00110375"/>
    <w:rsid w:val="001115E1"/>
    <w:rsid w:val="001159B7"/>
    <w:rsid w:val="001200D9"/>
    <w:rsid w:val="00121C0D"/>
    <w:rsid w:val="001235A7"/>
    <w:rsid w:val="00124127"/>
    <w:rsid w:val="0012597C"/>
    <w:rsid w:val="00126528"/>
    <w:rsid w:val="00126924"/>
    <w:rsid w:val="00130150"/>
    <w:rsid w:val="00130362"/>
    <w:rsid w:val="0013071E"/>
    <w:rsid w:val="00130FF7"/>
    <w:rsid w:val="00133D07"/>
    <w:rsid w:val="001362A0"/>
    <w:rsid w:val="0013723A"/>
    <w:rsid w:val="001403C1"/>
    <w:rsid w:val="00140DB9"/>
    <w:rsid w:val="00141F0C"/>
    <w:rsid w:val="00142437"/>
    <w:rsid w:val="00142652"/>
    <w:rsid w:val="00143D10"/>
    <w:rsid w:val="001442A3"/>
    <w:rsid w:val="00145800"/>
    <w:rsid w:val="00145F22"/>
    <w:rsid w:val="00146973"/>
    <w:rsid w:val="00146C07"/>
    <w:rsid w:val="00146CE4"/>
    <w:rsid w:val="00147DED"/>
    <w:rsid w:val="0015182B"/>
    <w:rsid w:val="0015495F"/>
    <w:rsid w:val="00155570"/>
    <w:rsid w:val="00155C9F"/>
    <w:rsid w:val="00156D49"/>
    <w:rsid w:val="00157047"/>
    <w:rsid w:val="00162497"/>
    <w:rsid w:val="00163116"/>
    <w:rsid w:val="00165319"/>
    <w:rsid w:val="00165758"/>
    <w:rsid w:val="0017242E"/>
    <w:rsid w:val="001733F4"/>
    <w:rsid w:val="00174407"/>
    <w:rsid w:val="00174C2F"/>
    <w:rsid w:val="00175FAB"/>
    <w:rsid w:val="00177925"/>
    <w:rsid w:val="001852D4"/>
    <w:rsid w:val="00186B84"/>
    <w:rsid w:val="00186EB7"/>
    <w:rsid w:val="00187077"/>
    <w:rsid w:val="00187E39"/>
    <w:rsid w:val="00190E50"/>
    <w:rsid w:val="001947CB"/>
    <w:rsid w:val="001947CF"/>
    <w:rsid w:val="00195D39"/>
    <w:rsid w:val="00195E96"/>
    <w:rsid w:val="001A0761"/>
    <w:rsid w:val="001A1F09"/>
    <w:rsid w:val="001A27B7"/>
    <w:rsid w:val="001A3C85"/>
    <w:rsid w:val="001A5F28"/>
    <w:rsid w:val="001A6BA1"/>
    <w:rsid w:val="001B1010"/>
    <w:rsid w:val="001B1276"/>
    <w:rsid w:val="001B2942"/>
    <w:rsid w:val="001B31F9"/>
    <w:rsid w:val="001B352A"/>
    <w:rsid w:val="001B3859"/>
    <w:rsid w:val="001B6107"/>
    <w:rsid w:val="001B7FD6"/>
    <w:rsid w:val="001C17B8"/>
    <w:rsid w:val="001C308A"/>
    <w:rsid w:val="001C5A9A"/>
    <w:rsid w:val="001D041E"/>
    <w:rsid w:val="001D4855"/>
    <w:rsid w:val="001D488E"/>
    <w:rsid w:val="001D4BED"/>
    <w:rsid w:val="001D5C58"/>
    <w:rsid w:val="001E3DB5"/>
    <w:rsid w:val="001E4FA8"/>
    <w:rsid w:val="001E619C"/>
    <w:rsid w:val="001E62EA"/>
    <w:rsid w:val="001E7899"/>
    <w:rsid w:val="001F0F29"/>
    <w:rsid w:val="001F11AD"/>
    <w:rsid w:val="001F273A"/>
    <w:rsid w:val="001F3621"/>
    <w:rsid w:val="001F7C87"/>
    <w:rsid w:val="0020394E"/>
    <w:rsid w:val="002049D9"/>
    <w:rsid w:val="002135B6"/>
    <w:rsid w:val="0021362F"/>
    <w:rsid w:val="00213AAF"/>
    <w:rsid w:val="002146DE"/>
    <w:rsid w:val="00214733"/>
    <w:rsid w:val="002150BC"/>
    <w:rsid w:val="00215B36"/>
    <w:rsid w:val="00216E5D"/>
    <w:rsid w:val="00220DFD"/>
    <w:rsid w:val="00220F07"/>
    <w:rsid w:val="002219D4"/>
    <w:rsid w:val="00221AEE"/>
    <w:rsid w:val="00223041"/>
    <w:rsid w:val="0022319B"/>
    <w:rsid w:val="002234F5"/>
    <w:rsid w:val="002279C8"/>
    <w:rsid w:val="002328F6"/>
    <w:rsid w:val="00233046"/>
    <w:rsid w:val="00233E06"/>
    <w:rsid w:val="00234261"/>
    <w:rsid w:val="00236052"/>
    <w:rsid w:val="0023727A"/>
    <w:rsid w:val="00237AC9"/>
    <w:rsid w:val="00237EC4"/>
    <w:rsid w:val="0024097F"/>
    <w:rsid w:val="00242732"/>
    <w:rsid w:val="00242B31"/>
    <w:rsid w:val="0024335E"/>
    <w:rsid w:val="0024339C"/>
    <w:rsid w:val="00244E6C"/>
    <w:rsid w:val="002451BA"/>
    <w:rsid w:val="00246928"/>
    <w:rsid w:val="00246C5D"/>
    <w:rsid w:val="002472E1"/>
    <w:rsid w:val="0024739A"/>
    <w:rsid w:val="0025129A"/>
    <w:rsid w:val="00251E67"/>
    <w:rsid w:val="00251F7E"/>
    <w:rsid w:val="00252BD9"/>
    <w:rsid w:val="00253205"/>
    <w:rsid w:val="00254B69"/>
    <w:rsid w:val="0025556E"/>
    <w:rsid w:val="002607BB"/>
    <w:rsid w:val="00260C0F"/>
    <w:rsid w:val="00261146"/>
    <w:rsid w:val="002619AE"/>
    <w:rsid w:val="00263C83"/>
    <w:rsid w:val="00266F81"/>
    <w:rsid w:val="0027580F"/>
    <w:rsid w:val="002764EB"/>
    <w:rsid w:val="00280517"/>
    <w:rsid w:val="002822E4"/>
    <w:rsid w:val="002832C4"/>
    <w:rsid w:val="002841E1"/>
    <w:rsid w:val="0028420E"/>
    <w:rsid w:val="002855E5"/>
    <w:rsid w:val="00291C77"/>
    <w:rsid w:val="00293B31"/>
    <w:rsid w:val="00297185"/>
    <w:rsid w:val="00297687"/>
    <w:rsid w:val="002A19AB"/>
    <w:rsid w:val="002A312C"/>
    <w:rsid w:val="002A314A"/>
    <w:rsid w:val="002A554F"/>
    <w:rsid w:val="002A6010"/>
    <w:rsid w:val="002A7482"/>
    <w:rsid w:val="002B25AF"/>
    <w:rsid w:val="002B723D"/>
    <w:rsid w:val="002B76FD"/>
    <w:rsid w:val="002C0CB4"/>
    <w:rsid w:val="002C117E"/>
    <w:rsid w:val="002C2A77"/>
    <w:rsid w:val="002C3DB9"/>
    <w:rsid w:val="002C5CD4"/>
    <w:rsid w:val="002C5DED"/>
    <w:rsid w:val="002C63A7"/>
    <w:rsid w:val="002C6610"/>
    <w:rsid w:val="002C6CBD"/>
    <w:rsid w:val="002D0E72"/>
    <w:rsid w:val="002D1715"/>
    <w:rsid w:val="002D1BCC"/>
    <w:rsid w:val="002D1F5F"/>
    <w:rsid w:val="002D2035"/>
    <w:rsid w:val="002D5B3A"/>
    <w:rsid w:val="002E1C33"/>
    <w:rsid w:val="002E21B0"/>
    <w:rsid w:val="002E285C"/>
    <w:rsid w:val="002E30E5"/>
    <w:rsid w:val="002E742C"/>
    <w:rsid w:val="002E7C0D"/>
    <w:rsid w:val="002F211C"/>
    <w:rsid w:val="002F3344"/>
    <w:rsid w:val="002F3749"/>
    <w:rsid w:val="002F488A"/>
    <w:rsid w:val="002F59F2"/>
    <w:rsid w:val="002F75E8"/>
    <w:rsid w:val="00300A1A"/>
    <w:rsid w:val="00301E87"/>
    <w:rsid w:val="00301F7A"/>
    <w:rsid w:val="00302242"/>
    <w:rsid w:val="0030547F"/>
    <w:rsid w:val="003060A3"/>
    <w:rsid w:val="003063B1"/>
    <w:rsid w:val="003076C3"/>
    <w:rsid w:val="0031236E"/>
    <w:rsid w:val="00314838"/>
    <w:rsid w:val="00317761"/>
    <w:rsid w:val="00317E4A"/>
    <w:rsid w:val="00317FBF"/>
    <w:rsid w:val="003202B2"/>
    <w:rsid w:val="00324AA5"/>
    <w:rsid w:val="00325736"/>
    <w:rsid w:val="003259CE"/>
    <w:rsid w:val="00325C55"/>
    <w:rsid w:val="00330B52"/>
    <w:rsid w:val="00332182"/>
    <w:rsid w:val="00332C13"/>
    <w:rsid w:val="003331BD"/>
    <w:rsid w:val="00333C65"/>
    <w:rsid w:val="003344DF"/>
    <w:rsid w:val="0033535E"/>
    <w:rsid w:val="003405F0"/>
    <w:rsid w:val="003412F3"/>
    <w:rsid w:val="003441D3"/>
    <w:rsid w:val="003445DD"/>
    <w:rsid w:val="00344CB1"/>
    <w:rsid w:val="00347BB8"/>
    <w:rsid w:val="003516B7"/>
    <w:rsid w:val="003534B8"/>
    <w:rsid w:val="00355B69"/>
    <w:rsid w:val="00357167"/>
    <w:rsid w:val="003579E9"/>
    <w:rsid w:val="00360F0A"/>
    <w:rsid w:val="00360FA1"/>
    <w:rsid w:val="0036190C"/>
    <w:rsid w:val="00364C63"/>
    <w:rsid w:val="00365DE0"/>
    <w:rsid w:val="00366926"/>
    <w:rsid w:val="00367A7E"/>
    <w:rsid w:val="00370487"/>
    <w:rsid w:val="00370D73"/>
    <w:rsid w:val="00371B5C"/>
    <w:rsid w:val="0037268A"/>
    <w:rsid w:val="00372EE6"/>
    <w:rsid w:val="00377840"/>
    <w:rsid w:val="00377F3E"/>
    <w:rsid w:val="0038016C"/>
    <w:rsid w:val="0038112E"/>
    <w:rsid w:val="00381DB2"/>
    <w:rsid w:val="00384B32"/>
    <w:rsid w:val="003853CB"/>
    <w:rsid w:val="00385B59"/>
    <w:rsid w:val="00387120"/>
    <w:rsid w:val="003871CC"/>
    <w:rsid w:val="0038749E"/>
    <w:rsid w:val="0039236F"/>
    <w:rsid w:val="003961A4"/>
    <w:rsid w:val="00396886"/>
    <w:rsid w:val="00397356"/>
    <w:rsid w:val="00397D50"/>
    <w:rsid w:val="00397E95"/>
    <w:rsid w:val="003A0202"/>
    <w:rsid w:val="003A0625"/>
    <w:rsid w:val="003A41E6"/>
    <w:rsid w:val="003A766A"/>
    <w:rsid w:val="003A7A85"/>
    <w:rsid w:val="003B2686"/>
    <w:rsid w:val="003B2BF3"/>
    <w:rsid w:val="003B44F1"/>
    <w:rsid w:val="003B6DD4"/>
    <w:rsid w:val="003B7157"/>
    <w:rsid w:val="003C0A26"/>
    <w:rsid w:val="003C1E35"/>
    <w:rsid w:val="003C1F01"/>
    <w:rsid w:val="003C30FA"/>
    <w:rsid w:val="003C337F"/>
    <w:rsid w:val="003C3D72"/>
    <w:rsid w:val="003C466D"/>
    <w:rsid w:val="003C57B6"/>
    <w:rsid w:val="003C6C5F"/>
    <w:rsid w:val="003C6E78"/>
    <w:rsid w:val="003D181F"/>
    <w:rsid w:val="003D2502"/>
    <w:rsid w:val="003D4D18"/>
    <w:rsid w:val="003D4F84"/>
    <w:rsid w:val="003D502B"/>
    <w:rsid w:val="003E0A12"/>
    <w:rsid w:val="003E1357"/>
    <w:rsid w:val="003E1CE7"/>
    <w:rsid w:val="003E2A73"/>
    <w:rsid w:val="003E4E72"/>
    <w:rsid w:val="003E5CCE"/>
    <w:rsid w:val="003F50CD"/>
    <w:rsid w:val="003F72EC"/>
    <w:rsid w:val="00401118"/>
    <w:rsid w:val="00401682"/>
    <w:rsid w:val="00402D8C"/>
    <w:rsid w:val="0040455F"/>
    <w:rsid w:val="00404C89"/>
    <w:rsid w:val="004052F8"/>
    <w:rsid w:val="0040584E"/>
    <w:rsid w:val="00407680"/>
    <w:rsid w:val="0041077D"/>
    <w:rsid w:val="00411645"/>
    <w:rsid w:val="004120E6"/>
    <w:rsid w:val="004130FD"/>
    <w:rsid w:val="00413ED8"/>
    <w:rsid w:val="0041468A"/>
    <w:rsid w:val="00420381"/>
    <w:rsid w:val="0042194C"/>
    <w:rsid w:val="00426751"/>
    <w:rsid w:val="0043389E"/>
    <w:rsid w:val="004339EA"/>
    <w:rsid w:val="0043450B"/>
    <w:rsid w:val="00436A94"/>
    <w:rsid w:val="0044255F"/>
    <w:rsid w:val="004437EA"/>
    <w:rsid w:val="00445EC5"/>
    <w:rsid w:val="00445FD6"/>
    <w:rsid w:val="004508FD"/>
    <w:rsid w:val="00451DE7"/>
    <w:rsid w:val="00452496"/>
    <w:rsid w:val="004525EC"/>
    <w:rsid w:val="004536BC"/>
    <w:rsid w:val="00465DF1"/>
    <w:rsid w:val="00465E43"/>
    <w:rsid w:val="004675C7"/>
    <w:rsid w:val="00471E33"/>
    <w:rsid w:val="004725B6"/>
    <w:rsid w:val="004731BA"/>
    <w:rsid w:val="00473521"/>
    <w:rsid w:val="00474152"/>
    <w:rsid w:val="00475BCF"/>
    <w:rsid w:val="004775CC"/>
    <w:rsid w:val="00477C19"/>
    <w:rsid w:val="004807BB"/>
    <w:rsid w:val="00481B00"/>
    <w:rsid w:val="00482123"/>
    <w:rsid w:val="00484CF0"/>
    <w:rsid w:val="00485BF5"/>
    <w:rsid w:val="0048603F"/>
    <w:rsid w:val="00486B79"/>
    <w:rsid w:val="00487B41"/>
    <w:rsid w:val="00487BC9"/>
    <w:rsid w:val="00487D7E"/>
    <w:rsid w:val="00487E6C"/>
    <w:rsid w:val="004904BF"/>
    <w:rsid w:val="00491424"/>
    <w:rsid w:val="00491F7E"/>
    <w:rsid w:val="0049392F"/>
    <w:rsid w:val="00495907"/>
    <w:rsid w:val="00496642"/>
    <w:rsid w:val="004A062E"/>
    <w:rsid w:val="004A0FA8"/>
    <w:rsid w:val="004A1CAF"/>
    <w:rsid w:val="004A2D2A"/>
    <w:rsid w:val="004A5319"/>
    <w:rsid w:val="004B009E"/>
    <w:rsid w:val="004B1971"/>
    <w:rsid w:val="004B51F8"/>
    <w:rsid w:val="004C0E61"/>
    <w:rsid w:val="004C4AB7"/>
    <w:rsid w:val="004C5DA7"/>
    <w:rsid w:val="004D0140"/>
    <w:rsid w:val="004D0151"/>
    <w:rsid w:val="004D27C5"/>
    <w:rsid w:val="004D4558"/>
    <w:rsid w:val="004D4894"/>
    <w:rsid w:val="004D4CA0"/>
    <w:rsid w:val="004D53CD"/>
    <w:rsid w:val="004D78F4"/>
    <w:rsid w:val="004E050D"/>
    <w:rsid w:val="004E6D9E"/>
    <w:rsid w:val="004F0F00"/>
    <w:rsid w:val="004F24D6"/>
    <w:rsid w:val="004F39F7"/>
    <w:rsid w:val="004F3DF7"/>
    <w:rsid w:val="004F6C26"/>
    <w:rsid w:val="00500F8B"/>
    <w:rsid w:val="0050221E"/>
    <w:rsid w:val="00503579"/>
    <w:rsid w:val="0050369E"/>
    <w:rsid w:val="00503983"/>
    <w:rsid w:val="00504115"/>
    <w:rsid w:val="00504D5E"/>
    <w:rsid w:val="00505C04"/>
    <w:rsid w:val="0050707A"/>
    <w:rsid w:val="0050733A"/>
    <w:rsid w:val="00507FA5"/>
    <w:rsid w:val="005105B3"/>
    <w:rsid w:val="005108FF"/>
    <w:rsid w:val="00510ADD"/>
    <w:rsid w:val="00512235"/>
    <w:rsid w:val="00512C2B"/>
    <w:rsid w:val="005138FB"/>
    <w:rsid w:val="00520482"/>
    <w:rsid w:val="00520D5F"/>
    <w:rsid w:val="00521CD8"/>
    <w:rsid w:val="00523AF1"/>
    <w:rsid w:val="00524E19"/>
    <w:rsid w:val="005258AE"/>
    <w:rsid w:val="005270C9"/>
    <w:rsid w:val="00527677"/>
    <w:rsid w:val="00530EF4"/>
    <w:rsid w:val="0053318C"/>
    <w:rsid w:val="00533592"/>
    <w:rsid w:val="005356C7"/>
    <w:rsid w:val="00535CC0"/>
    <w:rsid w:val="0054037C"/>
    <w:rsid w:val="00540B77"/>
    <w:rsid w:val="00540BCD"/>
    <w:rsid w:val="00540E47"/>
    <w:rsid w:val="005417F4"/>
    <w:rsid w:val="00541A3D"/>
    <w:rsid w:val="00541E15"/>
    <w:rsid w:val="00541ECF"/>
    <w:rsid w:val="00543D1A"/>
    <w:rsid w:val="00545905"/>
    <w:rsid w:val="00545D77"/>
    <w:rsid w:val="005471DF"/>
    <w:rsid w:val="005475F7"/>
    <w:rsid w:val="00547B01"/>
    <w:rsid w:val="005525E1"/>
    <w:rsid w:val="00555A45"/>
    <w:rsid w:val="005561C7"/>
    <w:rsid w:val="00560019"/>
    <w:rsid w:val="005602D9"/>
    <w:rsid w:val="005613D8"/>
    <w:rsid w:val="00562D62"/>
    <w:rsid w:val="00563C57"/>
    <w:rsid w:val="005660A8"/>
    <w:rsid w:val="005664AE"/>
    <w:rsid w:val="005707F5"/>
    <w:rsid w:val="00571B64"/>
    <w:rsid w:val="0057214C"/>
    <w:rsid w:val="00572F0A"/>
    <w:rsid w:val="0057474D"/>
    <w:rsid w:val="00582559"/>
    <w:rsid w:val="0058506B"/>
    <w:rsid w:val="005857A6"/>
    <w:rsid w:val="005863A5"/>
    <w:rsid w:val="00587B3F"/>
    <w:rsid w:val="0059097B"/>
    <w:rsid w:val="00595B04"/>
    <w:rsid w:val="00595B35"/>
    <w:rsid w:val="005967BE"/>
    <w:rsid w:val="00597EC7"/>
    <w:rsid w:val="005A0B1B"/>
    <w:rsid w:val="005A194E"/>
    <w:rsid w:val="005A3A02"/>
    <w:rsid w:val="005A3E18"/>
    <w:rsid w:val="005A53A0"/>
    <w:rsid w:val="005A5D37"/>
    <w:rsid w:val="005A724C"/>
    <w:rsid w:val="005B022A"/>
    <w:rsid w:val="005B0E68"/>
    <w:rsid w:val="005B179F"/>
    <w:rsid w:val="005B3B16"/>
    <w:rsid w:val="005B3BD7"/>
    <w:rsid w:val="005B47F6"/>
    <w:rsid w:val="005B4CC3"/>
    <w:rsid w:val="005B6E12"/>
    <w:rsid w:val="005C1EC7"/>
    <w:rsid w:val="005C400E"/>
    <w:rsid w:val="005C525D"/>
    <w:rsid w:val="005C7B02"/>
    <w:rsid w:val="005D43D1"/>
    <w:rsid w:val="005D4485"/>
    <w:rsid w:val="005D45B0"/>
    <w:rsid w:val="005D4CD3"/>
    <w:rsid w:val="005D5B0A"/>
    <w:rsid w:val="005D7E62"/>
    <w:rsid w:val="005E2DC2"/>
    <w:rsid w:val="005E76C2"/>
    <w:rsid w:val="005F0E7E"/>
    <w:rsid w:val="005F1592"/>
    <w:rsid w:val="005F1FB5"/>
    <w:rsid w:val="005F21CA"/>
    <w:rsid w:val="005F2DA1"/>
    <w:rsid w:val="005F58E6"/>
    <w:rsid w:val="005F724E"/>
    <w:rsid w:val="00600482"/>
    <w:rsid w:val="00601CDB"/>
    <w:rsid w:val="006032EE"/>
    <w:rsid w:val="006052E1"/>
    <w:rsid w:val="00606C53"/>
    <w:rsid w:val="00606D85"/>
    <w:rsid w:val="00611336"/>
    <w:rsid w:val="00611683"/>
    <w:rsid w:val="0061211E"/>
    <w:rsid w:val="00612CCF"/>
    <w:rsid w:val="00613682"/>
    <w:rsid w:val="00613E04"/>
    <w:rsid w:val="00613E87"/>
    <w:rsid w:val="00615314"/>
    <w:rsid w:val="00616410"/>
    <w:rsid w:val="00616FC7"/>
    <w:rsid w:val="00617CBF"/>
    <w:rsid w:val="00620C0D"/>
    <w:rsid w:val="0062152A"/>
    <w:rsid w:val="00621626"/>
    <w:rsid w:val="00625135"/>
    <w:rsid w:val="00626B2C"/>
    <w:rsid w:val="00631306"/>
    <w:rsid w:val="0063221E"/>
    <w:rsid w:val="00634B8F"/>
    <w:rsid w:val="006358C4"/>
    <w:rsid w:val="00635C8F"/>
    <w:rsid w:val="006365B5"/>
    <w:rsid w:val="00640A78"/>
    <w:rsid w:val="0064612E"/>
    <w:rsid w:val="0064745C"/>
    <w:rsid w:val="00647F57"/>
    <w:rsid w:val="00650DD0"/>
    <w:rsid w:val="006514DD"/>
    <w:rsid w:val="00652EC6"/>
    <w:rsid w:val="0065364B"/>
    <w:rsid w:val="00655800"/>
    <w:rsid w:val="00655878"/>
    <w:rsid w:val="0065716D"/>
    <w:rsid w:val="00661471"/>
    <w:rsid w:val="00662FF1"/>
    <w:rsid w:val="00663FBD"/>
    <w:rsid w:val="006650A8"/>
    <w:rsid w:val="006665C8"/>
    <w:rsid w:val="00666A48"/>
    <w:rsid w:val="00670584"/>
    <w:rsid w:val="00671424"/>
    <w:rsid w:val="006716F9"/>
    <w:rsid w:val="00674185"/>
    <w:rsid w:val="00680994"/>
    <w:rsid w:val="00681731"/>
    <w:rsid w:val="006819EE"/>
    <w:rsid w:val="00684814"/>
    <w:rsid w:val="006853C0"/>
    <w:rsid w:val="00685486"/>
    <w:rsid w:val="00687B4B"/>
    <w:rsid w:val="00693E14"/>
    <w:rsid w:val="0069430D"/>
    <w:rsid w:val="006A00D6"/>
    <w:rsid w:val="006A0802"/>
    <w:rsid w:val="006A17C2"/>
    <w:rsid w:val="006A2E4B"/>
    <w:rsid w:val="006A38A1"/>
    <w:rsid w:val="006A608A"/>
    <w:rsid w:val="006B13D3"/>
    <w:rsid w:val="006B20C2"/>
    <w:rsid w:val="006B659C"/>
    <w:rsid w:val="006B676B"/>
    <w:rsid w:val="006B7EE7"/>
    <w:rsid w:val="006C1ACB"/>
    <w:rsid w:val="006C2208"/>
    <w:rsid w:val="006C2943"/>
    <w:rsid w:val="006C2FBB"/>
    <w:rsid w:val="006C306E"/>
    <w:rsid w:val="006C4C1C"/>
    <w:rsid w:val="006C63CA"/>
    <w:rsid w:val="006C6779"/>
    <w:rsid w:val="006C67FB"/>
    <w:rsid w:val="006C7736"/>
    <w:rsid w:val="006D0C83"/>
    <w:rsid w:val="006D19A3"/>
    <w:rsid w:val="006D56A3"/>
    <w:rsid w:val="006D7954"/>
    <w:rsid w:val="006E0F33"/>
    <w:rsid w:val="006E2786"/>
    <w:rsid w:val="006E5C03"/>
    <w:rsid w:val="006E677D"/>
    <w:rsid w:val="006E7A23"/>
    <w:rsid w:val="006E7ABD"/>
    <w:rsid w:val="006E7E85"/>
    <w:rsid w:val="006F1767"/>
    <w:rsid w:val="006F19E2"/>
    <w:rsid w:val="006F2423"/>
    <w:rsid w:val="006F3C61"/>
    <w:rsid w:val="006F3DFF"/>
    <w:rsid w:val="006F548F"/>
    <w:rsid w:val="006F6A0D"/>
    <w:rsid w:val="006F7BD0"/>
    <w:rsid w:val="007007DE"/>
    <w:rsid w:val="00700CFF"/>
    <w:rsid w:val="007033D6"/>
    <w:rsid w:val="00704721"/>
    <w:rsid w:val="00705052"/>
    <w:rsid w:val="00705A3B"/>
    <w:rsid w:val="00705A64"/>
    <w:rsid w:val="00707313"/>
    <w:rsid w:val="0070734A"/>
    <w:rsid w:val="007114C4"/>
    <w:rsid w:val="00711A72"/>
    <w:rsid w:val="00713225"/>
    <w:rsid w:val="0071438B"/>
    <w:rsid w:val="007150E1"/>
    <w:rsid w:val="00715F33"/>
    <w:rsid w:val="007175BF"/>
    <w:rsid w:val="0072034E"/>
    <w:rsid w:val="00720E6C"/>
    <w:rsid w:val="0072371D"/>
    <w:rsid w:val="00723BA7"/>
    <w:rsid w:val="00723E4C"/>
    <w:rsid w:val="00723F0D"/>
    <w:rsid w:val="00725D67"/>
    <w:rsid w:val="00733DDE"/>
    <w:rsid w:val="007344EF"/>
    <w:rsid w:val="007364B9"/>
    <w:rsid w:val="007370ED"/>
    <w:rsid w:val="00740E29"/>
    <w:rsid w:val="00741F13"/>
    <w:rsid w:val="007439F2"/>
    <w:rsid w:val="00744915"/>
    <w:rsid w:val="0074526F"/>
    <w:rsid w:val="00746271"/>
    <w:rsid w:val="007465B5"/>
    <w:rsid w:val="00747BC7"/>
    <w:rsid w:val="00750476"/>
    <w:rsid w:val="007520D3"/>
    <w:rsid w:val="00753A5E"/>
    <w:rsid w:val="00756C3A"/>
    <w:rsid w:val="007573B4"/>
    <w:rsid w:val="00763226"/>
    <w:rsid w:val="00763BE4"/>
    <w:rsid w:val="00764ED8"/>
    <w:rsid w:val="007664B2"/>
    <w:rsid w:val="007673F7"/>
    <w:rsid w:val="0076760E"/>
    <w:rsid w:val="00770D18"/>
    <w:rsid w:val="00770D56"/>
    <w:rsid w:val="007717AD"/>
    <w:rsid w:val="007800E5"/>
    <w:rsid w:val="00781038"/>
    <w:rsid w:val="00781642"/>
    <w:rsid w:val="00782F0E"/>
    <w:rsid w:val="00787A36"/>
    <w:rsid w:val="00790397"/>
    <w:rsid w:val="00790868"/>
    <w:rsid w:val="00794595"/>
    <w:rsid w:val="007953DC"/>
    <w:rsid w:val="007A1D14"/>
    <w:rsid w:val="007A1D78"/>
    <w:rsid w:val="007A220D"/>
    <w:rsid w:val="007A25F4"/>
    <w:rsid w:val="007A7330"/>
    <w:rsid w:val="007B0E93"/>
    <w:rsid w:val="007B142E"/>
    <w:rsid w:val="007B2C20"/>
    <w:rsid w:val="007B3431"/>
    <w:rsid w:val="007B49C7"/>
    <w:rsid w:val="007B54F7"/>
    <w:rsid w:val="007C17CE"/>
    <w:rsid w:val="007C1E64"/>
    <w:rsid w:val="007C2C20"/>
    <w:rsid w:val="007C390E"/>
    <w:rsid w:val="007C78AC"/>
    <w:rsid w:val="007D04EA"/>
    <w:rsid w:val="007D1A77"/>
    <w:rsid w:val="007D264D"/>
    <w:rsid w:val="007D2865"/>
    <w:rsid w:val="007D5BAC"/>
    <w:rsid w:val="007D62BE"/>
    <w:rsid w:val="007D6302"/>
    <w:rsid w:val="007D7305"/>
    <w:rsid w:val="007E030A"/>
    <w:rsid w:val="007E09F2"/>
    <w:rsid w:val="007E1022"/>
    <w:rsid w:val="007E153F"/>
    <w:rsid w:val="007E2A0F"/>
    <w:rsid w:val="007E44F7"/>
    <w:rsid w:val="007E4E65"/>
    <w:rsid w:val="007E5EB3"/>
    <w:rsid w:val="007E6C3C"/>
    <w:rsid w:val="007F3361"/>
    <w:rsid w:val="007F38AB"/>
    <w:rsid w:val="007F41E9"/>
    <w:rsid w:val="007F5746"/>
    <w:rsid w:val="007F6B16"/>
    <w:rsid w:val="007F6E4A"/>
    <w:rsid w:val="007F724E"/>
    <w:rsid w:val="00800B06"/>
    <w:rsid w:val="00800C1D"/>
    <w:rsid w:val="0080170B"/>
    <w:rsid w:val="0080334C"/>
    <w:rsid w:val="00805A60"/>
    <w:rsid w:val="008073D6"/>
    <w:rsid w:val="00811296"/>
    <w:rsid w:val="00814527"/>
    <w:rsid w:val="00814969"/>
    <w:rsid w:val="00814D13"/>
    <w:rsid w:val="00824AB5"/>
    <w:rsid w:val="00825B5A"/>
    <w:rsid w:val="0082653D"/>
    <w:rsid w:val="008278B4"/>
    <w:rsid w:val="00833823"/>
    <w:rsid w:val="00833AE1"/>
    <w:rsid w:val="008345CF"/>
    <w:rsid w:val="00835821"/>
    <w:rsid w:val="00835C73"/>
    <w:rsid w:val="008372F4"/>
    <w:rsid w:val="008424A1"/>
    <w:rsid w:val="00842556"/>
    <w:rsid w:val="00842BD5"/>
    <w:rsid w:val="008438BA"/>
    <w:rsid w:val="008528D8"/>
    <w:rsid w:val="00856831"/>
    <w:rsid w:val="00857D6D"/>
    <w:rsid w:val="0086106E"/>
    <w:rsid w:val="0086181D"/>
    <w:rsid w:val="00861855"/>
    <w:rsid w:val="00863451"/>
    <w:rsid w:val="00864779"/>
    <w:rsid w:val="008649A0"/>
    <w:rsid w:val="00865384"/>
    <w:rsid w:val="00866D9B"/>
    <w:rsid w:val="00871345"/>
    <w:rsid w:val="0087348A"/>
    <w:rsid w:val="0087423D"/>
    <w:rsid w:val="00874E0E"/>
    <w:rsid w:val="00875B0C"/>
    <w:rsid w:val="00880E3B"/>
    <w:rsid w:val="008810F6"/>
    <w:rsid w:val="00883F43"/>
    <w:rsid w:val="008847A0"/>
    <w:rsid w:val="008901F9"/>
    <w:rsid w:val="008903EB"/>
    <w:rsid w:val="00890843"/>
    <w:rsid w:val="008912B6"/>
    <w:rsid w:val="00891D96"/>
    <w:rsid w:val="00893E5F"/>
    <w:rsid w:val="008973CB"/>
    <w:rsid w:val="008A4095"/>
    <w:rsid w:val="008A7147"/>
    <w:rsid w:val="008A7B75"/>
    <w:rsid w:val="008B0664"/>
    <w:rsid w:val="008B1220"/>
    <w:rsid w:val="008B18B4"/>
    <w:rsid w:val="008B3D17"/>
    <w:rsid w:val="008B4CDD"/>
    <w:rsid w:val="008C1243"/>
    <w:rsid w:val="008C1828"/>
    <w:rsid w:val="008C2175"/>
    <w:rsid w:val="008C35F5"/>
    <w:rsid w:val="008C43E9"/>
    <w:rsid w:val="008C74B3"/>
    <w:rsid w:val="008C7CF8"/>
    <w:rsid w:val="008D0206"/>
    <w:rsid w:val="008D1859"/>
    <w:rsid w:val="008D2A21"/>
    <w:rsid w:val="008D4BD9"/>
    <w:rsid w:val="008D4D16"/>
    <w:rsid w:val="008D4D43"/>
    <w:rsid w:val="008D6A7F"/>
    <w:rsid w:val="008D6BDD"/>
    <w:rsid w:val="008D7DE4"/>
    <w:rsid w:val="008E1D5F"/>
    <w:rsid w:val="008E24CF"/>
    <w:rsid w:val="008E29C4"/>
    <w:rsid w:val="008E4261"/>
    <w:rsid w:val="008E463E"/>
    <w:rsid w:val="008E53D7"/>
    <w:rsid w:val="008E58FD"/>
    <w:rsid w:val="008E6B1B"/>
    <w:rsid w:val="008E7C12"/>
    <w:rsid w:val="008F0508"/>
    <w:rsid w:val="008F36A7"/>
    <w:rsid w:val="008F456C"/>
    <w:rsid w:val="008F5F05"/>
    <w:rsid w:val="008F5F08"/>
    <w:rsid w:val="008F5F93"/>
    <w:rsid w:val="008F6136"/>
    <w:rsid w:val="008F64BD"/>
    <w:rsid w:val="008F7680"/>
    <w:rsid w:val="00901415"/>
    <w:rsid w:val="00901B3D"/>
    <w:rsid w:val="00902277"/>
    <w:rsid w:val="009022FC"/>
    <w:rsid w:val="00902C36"/>
    <w:rsid w:val="00902CD2"/>
    <w:rsid w:val="009036B6"/>
    <w:rsid w:val="00904DA0"/>
    <w:rsid w:val="009053F6"/>
    <w:rsid w:val="00906793"/>
    <w:rsid w:val="00907069"/>
    <w:rsid w:val="0091205B"/>
    <w:rsid w:val="0091216C"/>
    <w:rsid w:val="00915768"/>
    <w:rsid w:val="00916E71"/>
    <w:rsid w:val="0092198A"/>
    <w:rsid w:val="009244CC"/>
    <w:rsid w:val="00925F5B"/>
    <w:rsid w:val="009310AF"/>
    <w:rsid w:val="00934458"/>
    <w:rsid w:val="00940FD4"/>
    <w:rsid w:val="009414A7"/>
    <w:rsid w:val="009418E3"/>
    <w:rsid w:val="00942B6A"/>
    <w:rsid w:val="00942F56"/>
    <w:rsid w:val="00946479"/>
    <w:rsid w:val="00946FD5"/>
    <w:rsid w:val="00952251"/>
    <w:rsid w:val="00953C68"/>
    <w:rsid w:val="00954139"/>
    <w:rsid w:val="00955B83"/>
    <w:rsid w:val="00957E1E"/>
    <w:rsid w:val="0096003B"/>
    <w:rsid w:val="0096371C"/>
    <w:rsid w:val="009643E1"/>
    <w:rsid w:val="00965E64"/>
    <w:rsid w:val="00966107"/>
    <w:rsid w:val="00966357"/>
    <w:rsid w:val="009670DC"/>
    <w:rsid w:val="00967B5E"/>
    <w:rsid w:val="00967E02"/>
    <w:rsid w:val="00967F8D"/>
    <w:rsid w:val="00970A82"/>
    <w:rsid w:val="009716F7"/>
    <w:rsid w:val="00974D2A"/>
    <w:rsid w:val="009759A0"/>
    <w:rsid w:val="0097666F"/>
    <w:rsid w:val="00977593"/>
    <w:rsid w:val="009800DA"/>
    <w:rsid w:val="00980BC0"/>
    <w:rsid w:val="00980D09"/>
    <w:rsid w:val="00982817"/>
    <w:rsid w:val="00983625"/>
    <w:rsid w:val="00983DEC"/>
    <w:rsid w:val="009841FC"/>
    <w:rsid w:val="00985810"/>
    <w:rsid w:val="00985D70"/>
    <w:rsid w:val="009870C5"/>
    <w:rsid w:val="009874FD"/>
    <w:rsid w:val="009918A4"/>
    <w:rsid w:val="0099263F"/>
    <w:rsid w:val="00992F24"/>
    <w:rsid w:val="00993957"/>
    <w:rsid w:val="00995AF5"/>
    <w:rsid w:val="00996AE4"/>
    <w:rsid w:val="009A0395"/>
    <w:rsid w:val="009A04E6"/>
    <w:rsid w:val="009A054B"/>
    <w:rsid w:val="009A12D2"/>
    <w:rsid w:val="009A3B07"/>
    <w:rsid w:val="009A4924"/>
    <w:rsid w:val="009B28BA"/>
    <w:rsid w:val="009B3CC6"/>
    <w:rsid w:val="009B4447"/>
    <w:rsid w:val="009B456E"/>
    <w:rsid w:val="009B45B6"/>
    <w:rsid w:val="009B499D"/>
    <w:rsid w:val="009C09E9"/>
    <w:rsid w:val="009C3820"/>
    <w:rsid w:val="009C5097"/>
    <w:rsid w:val="009C5BC5"/>
    <w:rsid w:val="009D067B"/>
    <w:rsid w:val="009D2EB5"/>
    <w:rsid w:val="009D589C"/>
    <w:rsid w:val="009D5DE4"/>
    <w:rsid w:val="009E00C3"/>
    <w:rsid w:val="009E1D5B"/>
    <w:rsid w:val="009E218B"/>
    <w:rsid w:val="009E25FC"/>
    <w:rsid w:val="009E3AF6"/>
    <w:rsid w:val="009E3DC0"/>
    <w:rsid w:val="009E45F5"/>
    <w:rsid w:val="009E57C2"/>
    <w:rsid w:val="009E654C"/>
    <w:rsid w:val="009E7805"/>
    <w:rsid w:val="009F057E"/>
    <w:rsid w:val="009F07EF"/>
    <w:rsid w:val="009F0FA2"/>
    <w:rsid w:val="009F26F2"/>
    <w:rsid w:val="009F3B0F"/>
    <w:rsid w:val="009F5F40"/>
    <w:rsid w:val="009F621E"/>
    <w:rsid w:val="009F6CCC"/>
    <w:rsid w:val="00A022D3"/>
    <w:rsid w:val="00A11059"/>
    <w:rsid w:val="00A11FA0"/>
    <w:rsid w:val="00A14935"/>
    <w:rsid w:val="00A16C32"/>
    <w:rsid w:val="00A20655"/>
    <w:rsid w:val="00A215BE"/>
    <w:rsid w:val="00A2167C"/>
    <w:rsid w:val="00A219C2"/>
    <w:rsid w:val="00A22C6B"/>
    <w:rsid w:val="00A248C5"/>
    <w:rsid w:val="00A27C72"/>
    <w:rsid w:val="00A30558"/>
    <w:rsid w:val="00A32341"/>
    <w:rsid w:val="00A33B9D"/>
    <w:rsid w:val="00A34D80"/>
    <w:rsid w:val="00A34DF9"/>
    <w:rsid w:val="00A35A9F"/>
    <w:rsid w:val="00A36631"/>
    <w:rsid w:val="00A40769"/>
    <w:rsid w:val="00A433BD"/>
    <w:rsid w:val="00A4590F"/>
    <w:rsid w:val="00A471B6"/>
    <w:rsid w:val="00A47CA9"/>
    <w:rsid w:val="00A50582"/>
    <w:rsid w:val="00A50C81"/>
    <w:rsid w:val="00A512AA"/>
    <w:rsid w:val="00A52724"/>
    <w:rsid w:val="00A52943"/>
    <w:rsid w:val="00A52E4E"/>
    <w:rsid w:val="00A55A15"/>
    <w:rsid w:val="00A568BE"/>
    <w:rsid w:val="00A56D78"/>
    <w:rsid w:val="00A57466"/>
    <w:rsid w:val="00A575F5"/>
    <w:rsid w:val="00A619CF"/>
    <w:rsid w:val="00A62AFD"/>
    <w:rsid w:val="00A63658"/>
    <w:rsid w:val="00A70769"/>
    <w:rsid w:val="00A722A3"/>
    <w:rsid w:val="00A72AB4"/>
    <w:rsid w:val="00A72ADF"/>
    <w:rsid w:val="00A73622"/>
    <w:rsid w:val="00A73F7B"/>
    <w:rsid w:val="00A740F1"/>
    <w:rsid w:val="00A74284"/>
    <w:rsid w:val="00A755FA"/>
    <w:rsid w:val="00A75F90"/>
    <w:rsid w:val="00A7670C"/>
    <w:rsid w:val="00A77563"/>
    <w:rsid w:val="00A81E99"/>
    <w:rsid w:val="00A82A7E"/>
    <w:rsid w:val="00A851E7"/>
    <w:rsid w:val="00A86160"/>
    <w:rsid w:val="00A9054B"/>
    <w:rsid w:val="00A90CCF"/>
    <w:rsid w:val="00A91804"/>
    <w:rsid w:val="00A91C18"/>
    <w:rsid w:val="00A91FA8"/>
    <w:rsid w:val="00A9576E"/>
    <w:rsid w:val="00A95D4B"/>
    <w:rsid w:val="00A9676C"/>
    <w:rsid w:val="00AA0C80"/>
    <w:rsid w:val="00AA38C3"/>
    <w:rsid w:val="00AA445C"/>
    <w:rsid w:val="00AA44C6"/>
    <w:rsid w:val="00AA556C"/>
    <w:rsid w:val="00AA5726"/>
    <w:rsid w:val="00AA6442"/>
    <w:rsid w:val="00AB05C3"/>
    <w:rsid w:val="00AB1E1E"/>
    <w:rsid w:val="00AB204D"/>
    <w:rsid w:val="00AB247C"/>
    <w:rsid w:val="00AB385B"/>
    <w:rsid w:val="00AB4F0D"/>
    <w:rsid w:val="00AB7834"/>
    <w:rsid w:val="00AB7B73"/>
    <w:rsid w:val="00AB7E4E"/>
    <w:rsid w:val="00AC07E7"/>
    <w:rsid w:val="00AC1097"/>
    <w:rsid w:val="00AC2D00"/>
    <w:rsid w:val="00AC5E4B"/>
    <w:rsid w:val="00AC715F"/>
    <w:rsid w:val="00AD00E6"/>
    <w:rsid w:val="00AD01C7"/>
    <w:rsid w:val="00AD0C36"/>
    <w:rsid w:val="00AD3280"/>
    <w:rsid w:val="00AD3436"/>
    <w:rsid w:val="00AD430B"/>
    <w:rsid w:val="00AD4BAA"/>
    <w:rsid w:val="00AE0635"/>
    <w:rsid w:val="00AE2D76"/>
    <w:rsid w:val="00AE4616"/>
    <w:rsid w:val="00AE4B9C"/>
    <w:rsid w:val="00AE56A2"/>
    <w:rsid w:val="00AF0FAF"/>
    <w:rsid w:val="00AF27F6"/>
    <w:rsid w:val="00AF2F9A"/>
    <w:rsid w:val="00AF304A"/>
    <w:rsid w:val="00AF38ED"/>
    <w:rsid w:val="00AF3932"/>
    <w:rsid w:val="00AF4D2A"/>
    <w:rsid w:val="00AF791C"/>
    <w:rsid w:val="00B01488"/>
    <w:rsid w:val="00B014BB"/>
    <w:rsid w:val="00B0258D"/>
    <w:rsid w:val="00B02EE2"/>
    <w:rsid w:val="00B031AD"/>
    <w:rsid w:val="00B066E8"/>
    <w:rsid w:val="00B124EF"/>
    <w:rsid w:val="00B12690"/>
    <w:rsid w:val="00B1372F"/>
    <w:rsid w:val="00B14612"/>
    <w:rsid w:val="00B15C60"/>
    <w:rsid w:val="00B16107"/>
    <w:rsid w:val="00B17F7F"/>
    <w:rsid w:val="00B22E9A"/>
    <w:rsid w:val="00B23AAD"/>
    <w:rsid w:val="00B26F95"/>
    <w:rsid w:val="00B3142E"/>
    <w:rsid w:val="00B31673"/>
    <w:rsid w:val="00B32A27"/>
    <w:rsid w:val="00B34035"/>
    <w:rsid w:val="00B36DAB"/>
    <w:rsid w:val="00B37854"/>
    <w:rsid w:val="00B41369"/>
    <w:rsid w:val="00B43D26"/>
    <w:rsid w:val="00B45527"/>
    <w:rsid w:val="00B4634F"/>
    <w:rsid w:val="00B46BF9"/>
    <w:rsid w:val="00B57824"/>
    <w:rsid w:val="00B60CC2"/>
    <w:rsid w:val="00B60D4A"/>
    <w:rsid w:val="00B61FCE"/>
    <w:rsid w:val="00B62C65"/>
    <w:rsid w:val="00B62CF4"/>
    <w:rsid w:val="00B62EAC"/>
    <w:rsid w:val="00B670E0"/>
    <w:rsid w:val="00B67192"/>
    <w:rsid w:val="00B713D3"/>
    <w:rsid w:val="00B71DC8"/>
    <w:rsid w:val="00B736FF"/>
    <w:rsid w:val="00B80904"/>
    <w:rsid w:val="00B8256E"/>
    <w:rsid w:val="00B85824"/>
    <w:rsid w:val="00B9005C"/>
    <w:rsid w:val="00B903E5"/>
    <w:rsid w:val="00B92F8A"/>
    <w:rsid w:val="00B94B5D"/>
    <w:rsid w:val="00B94C72"/>
    <w:rsid w:val="00B96CD3"/>
    <w:rsid w:val="00B96D3A"/>
    <w:rsid w:val="00B979DF"/>
    <w:rsid w:val="00BA01AA"/>
    <w:rsid w:val="00BA189C"/>
    <w:rsid w:val="00BA292E"/>
    <w:rsid w:val="00BA4A25"/>
    <w:rsid w:val="00BA5BD1"/>
    <w:rsid w:val="00BA6FC4"/>
    <w:rsid w:val="00BB04C1"/>
    <w:rsid w:val="00BB091E"/>
    <w:rsid w:val="00BB158C"/>
    <w:rsid w:val="00BB313A"/>
    <w:rsid w:val="00BB58F3"/>
    <w:rsid w:val="00BC00AF"/>
    <w:rsid w:val="00BC1600"/>
    <w:rsid w:val="00BC2F96"/>
    <w:rsid w:val="00BC5817"/>
    <w:rsid w:val="00BD0C83"/>
    <w:rsid w:val="00BD1087"/>
    <w:rsid w:val="00BD3C0C"/>
    <w:rsid w:val="00BD3FB5"/>
    <w:rsid w:val="00BD45CF"/>
    <w:rsid w:val="00BD530A"/>
    <w:rsid w:val="00BD55E2"/>
    <w:rsid w:val="00BD6C9A"/>
    <w:rsid w:val="00BE04CE"/>
    <w:rsid w:val="00BE054A"/>
    <w:rsid w:val="00BE097E"/>
    <w:rsid w:val="00BE0A5E"/>
    <w:rsid w:val="00BE1934"/>
    <w:rsid w:val="00BE21FC"/>
    <w:rsid w:val="00BE256C"/>
    <w:rsid w:val="00BE289B"/>
    <w:rsid w:val="00BE50AD"/>
    <w:rsid w:val="00BE5674"/>
    <w:rsid w:val="00BE5ADF"/>
    <w:rsid w:val="00BE5B2B"/>
    <w:rsid w:val="00BE6847"/>
    <w:rsid w:val="00BE7326"/>
    <w:rsid w:val="00BE7DCD"/>
    <w:rsid w:val="00BF2FC9"/>
    <w:rsid w:val="00BF3655"/>
    <w:rsid w:val="00BF439E"/>
    <w:rsid w:val="00BF4BE5"/>
    <w:rsid w:val="00BF4E1D"/>
    <w:rsid w:val="00BF4E66"/>
    <w:rsid w:val="00BF6752"/>
    <w:rsid w:val="00BF6D70"/>
    <w:rsid w:val="00BF7509"/>
    <w:rsid w:val="00BF7A07"/>
    <w:rsid w:val="00C06CC8"/>
    <w:rsid w:val="00C06D4A"/>
    <w:rsid w:val="00C1185B"/>
    <w:rsid w:val="00C11DD1"/>
    <w:rsid w:val="00C12E0A"/>
    <w:rsid w:val="00C13DDB"/>
    <w:rsid w:val="00C16CC2"/>
    <w:rsid w:val="00C224F0"/>
    <w:rsid w:val="00C22B43"/>
    <w:rsid w:val="00C23743"/>
    <w:rsid w:val="00C269FD"/>
    <w:rsid w:val="00C27F8F"/>
    <w:rsid w:val="00C34F11"/>
    <w:rsid w:val="00C35D03"/>
    <w:rsid w:val="00C37222"/>
    <w:rsid w:val="00C42574"/>
    <w:rsid w:val="00C43007"/>
    <w:rsid w:val="00C50A51"/>
    <w:rsid w:val="00C512F1"/>
    <w:rsid w:val="00C51384"/>
    <w:rsid w:val="00C51DA4"/>
    <w:rsid w:val="00C52465"/>
    <w:rsid w:val="00C55974"/>
    <w:rsid w:val="00C56030"/>
    <w:rsid w:val="00C57C00"/>
    <w:rsid w:val="00C62274"/>
    <w:rsid w:val="00C6268F"/>
    <w:rsid w:val="00C64DDF"/>
    <w:rsid w:val="00C71A4F"/>
    <w:rsid w:val="00C71FF0"/>
    <w:rsid w:val="00C723A7"/>
    <w:rsid w:val="00C7369E"/>
    <w:rsid w:val="00C773B2"/>
    <w:rsid w:val="00C77CF8"/>
    <w:rsid w:val="00C8011F"/>
    <w:rsid w:val="00C8436F"/>
    <w:rsid w:val="00C8781D"/>
    <w:rsid w:val="00C901CB"/>
    <w:rsid w:val="00C92C03"/>
    <w:rsid w:val="00C92F0F"/>
    <w:rsid w:val="00C93476"/>
    <w:rsid w:val="00C9368C"/>
    <w:rsid w:val="00C958D5"/>
    <w:rsid w:val="00C96438"/>
    <w:rsid w:val="00C96FE7"/>
    <w:rsid w:val="00C97A3B"/>
    <w:rsid w:val="00CA1487"/>
    <w:rsid w:val="00CA2B85"/>
    <w:rsid w:val="00CA2C00"/>
    <w:rsid w:val="00CA2D11"/>
    <w:rsid w:val="00CA3E4B"/>
    <w:rsid w:val="00CA73DD"/>
    <w:rsid w:val="00CA7554"/>
    <w:rsid w:val="00CA7956"/>
    <w:rsid w:val="00CB03D8"/>
    <w:rsid w:val="00CB16A3"/>
    <w:rsid w:val="00CB281B"/>
    <w:rsid w:val="00CB40A4"/>
    <w:rsid w:val="00CB4D17"/>
    <w:rsid w:val="00CB4F1A"/>
    <w:rsid w:val="00CB62DD"/>
    <w:rsid w:val="00CB6530"/>
    <w:rsid w:val="00CC4357"/>
    <w:rsid w:val="00CC67B3"/>
    <w:rsid w:val="00CD63DA"/>
    <w:rsid w:val="00CD7A80"/>
    <w:rsid w:val="00CD7B2C"/>
    <w:rsid w:val="00CE00E2"/>
    <w:rsid w:val="00CE143A"/>
    <w:rsid w:val="00CE1560"/>
    <w:rsid w:val="00CE17C4"/>
    <w:rsid w:val="00CE213A"/>
    <w:rsid w:val="00CE44A7"/>
    <w:rsid w:val="00CE4EB9"/>
    <w:rsid w:val="00CF31DD"/>
    <w:rsid w:val="00CF32AD"/>
    <w:rsid w:val="00CF36AE"/>
    <w:rsid w:val="00CF680D"/>
    <w:rsid w:val="00CF7C99"/>
    <w:rsid w:val="00D00C85"/>
    <w:rsid w:val="00D01610"/>
    <w:rsid w:val="00D0238F"/>
    <w:rsid w:val="00D04075"/>
    <w:rsid w:val="00D05F8E"/>
    <w:rsid w:val="00D0627D"/>
    <w:rsid w:val="00D063B1"/>
    <w:rsid w:val="00D06857"/>
    <w:rsid w:val="00D07089"/>
    <w:rsid w:val="00D07423"/>
    <w:rsid w:val="00D0758A"/>
    <w:rsid w:val="00D077E7"/>
    <w:rsid w:val="00D10E77"/>
    <w:rsid w:val="00D119F6"/>
    <w:rsid w:val="00D13722"/>
    <w:rsid w:val="00D13799"/>
    <w:rsid w:val="00D158FB"/>
    <w:rsid w:val="00D15FB4"/>
    <w:rsid w:val="00D17D1F"/>
    <w:rsid w:val="00D20F96"/>
    <w:rsid w:val="00D227D2"/>
    <w:rsid w:val="00D23D0A"/>
    <w:rsid w:val="00D24374"/>
    <w:rsid w:val="00D2670E"/>
    <w:rsid w:val="00D30A11"/>
    <w:rsid w:val="00D30FD6"/>
    <w:rsid w:val="00D31B23"/>
    <w:rsid w:val="00D31D3E"/>
    <w:rsid w:val="00D32765"/>
    <w:rsid w:val="00D33164"/>
    <w:rsid w:val="00D33379"/>
    <w:rsid w:val="00D40829"/>
    <w:rsid w:val="00D41FE7"/>
    <w:rsid w:val="00D441C3"/>
    <w:rsid w:val="00D4484A"/>
    <w:rsid w:val="00D45EE4"/>
    <w:rsid w:val="00D515E0"/>
    <w:rsid w:val="00D5202D"/>
    <w:rsid w:val="00D52B41"/>
    <w:rsid w:val="00D549A2"/>
    <w:rsid w:val="00D54F9A"/>
    <w:rsid w:val="00D555F6"/>
    <w:rsid w:val="00D5589B"/>
    <w:rsid w:val="00D569A1"/>
    <w:rsid w:val="00D57AD0"/>
    <w:rsid w:val="00D60DF5"/>
    <w:rsid w:val="00D62966"/>
    <w:rsid w:val="00D63B58"/>
    <w:rsid w:val="00D653F6"/>
    <w:rsid w:val="00D667AC"/>
    <w:rsid w:val="00D67552"/>
    <w:rsid w:val="00D7103B"/>
    <w:rsid w:val="00D71F97"/>
    <w:rsid w:val="00D735A4"/>
    <w:rsid w:val="00D74008"/>
    <w:rsid w:val="00D7672D"/>
    <w:rsid w:val="00D7686A"/>
    <w:rsid w:val="00D77104"/>
    <w:rsid w:val="00D77169"/>
    <w:rsid w:val="00D808D1"/>
    <w:rsid w:val="00D817BB"/>
    <w:rsid w:val="00D81C32"/>
    <w:rsid w:val="00D82169"/>
    <w:rsid w:val="00D83FC3"/>
    <w:rsid w:val="00D8672C"/>
    <w:rsid w:val="00D86799"/>
    <w:rsid w:val="00D86BD0"/>
    <w:rsid w:val="00D904BD"/>
    <w:rsid w:val="00D91D8D"/>
    <w:rsid w:val="00D9215D"/>
    <w:rsid w:val="00D9636B"/>
    <w:rsid w:val="00D972E1"/>
    <w:rsid w:val="00D97365"/>
    <w:rsid w:val="00DA390F"/>
    <w:rsid w:val="00DA5A1A"/>
    <w:rsid w:val="00DA7D0F"/>
    <w:rsid w:val="00DB0B7F"/>
    <w:rsid w:val="00DB2F17"/>
    <w:rsid w:val="00DB62C8"/>
    <w:rsid w:val="00DB66D1"/>
    <w:rsid w:val="00DC005E"/>
    <w:rsid w:val="00DC2E77"/>
    <w:rsid w:val="00DC4C43"/>
    <w:rsid w:val="00DC72B7"/>
    <w:rsid w:val="00DC7853"/>
    <w:rsid w:val="00DD5173"/>
    <w:rsid w:val="00DD6219"/>
    <w:rsid w:val="00DD6A93"/>
    <w:rsid w:val="00DD701F"/>
    <w:rsid w:val="00DD7163"/>
    <w:rsid w:val="00DD78F2"/>
    <w:rsid w:val="00DE0C2D"/>
    <w:rsid w:val="00DF0BC9"/>
    <w:rsid w:val="00DF1BE4"/>
    <w:rsid w:val="00DF35E4"/>
    <w:rsid w:val="00DF4652"/>
    <w:rsid w:val="00DF5153"/>
    <w:rsid w:val="00DF5A48"/>
    <w:rsid w:val="00DF7857"/>
    <w:rsid w:val="00DF7AC8"/>
    <w:rsid w:val="00E02691"/>
    <w:rsid w:val="00E04BE2"/>
    <w:rsid w:val="00E05A8A"/>
    <w:rsid w:val="00E06477"/>
    <w:rsid w:val="00E112B2"/>
    <w:rsid w:val="00E11BF2"/>
    <w:rsid w:val="00E127F3"/>
    <w:rsid w:val="00E14462"/>
    <w:rsid w:val="00E15707"/>
    <w:rsid w:val="00E16200"/>
    <w:rsid w:val="00E16A6E"/>
    <w:rsid w:val="00E17398"/>
    <w:rsid w:val="00E21FF3"/>
    <w:rsid w:val="00E2327D"/>
    <w:rsid w:val="00E24971"/>
    <w:rsid w:val="00E250C7"/>
    <w:rsid w:val="00E27F17"/>
    <w:rsid w:val="00E304E1"/>
    <w:rsid w:val="00E31BF9"/>
    <w:rsid w:val="00E34A04"/>
    <w:rsid w:val="00E36962"/>
    <w:rsid w:val="00E36A84"/>
    <w:rsid w:val="00E37136"/>
    <w:rsid w:val="00E4356C"/>
    <w:rsid w:val="00E45D35"/>
    <w:rsid w:val="00E47E73"/>
    <w:rsid w:val="00E51D3D"/>
    <w:rsid w:val="00E51EE5"/>
    <w:rsid w:val="00E539B9"/>
    <w:rsid w:val="00E546C7"/>
    <w:rsid w:val="00E547E3"/>
    <w:rsid w:val="00E54A16"/>
    <w:rsid w:val="00E56A73"/>
    <w:rsid w:val="00E56AF4"/>
    <w:rsid w:val="00E5730D"/>
    <w:rsid w:val="00E605F6"/>
    <w:rsid w:val="00E613A4"/>
    <w:rsid w:val="00E6278F"/>
    <w:rsid w:val="00E65189"/>
    <w:rsid w:val="00E7054B"/>
    <w:rsid w:val="00E71DE9"/>
    <w:rsid w:val="00E73705"/>
    <w:rsid w:val="00E760DB"/>
    <w:rsid w:val="00E76CA1"/>
    <w:rsid w:val="00E816DB"/>
    <w:rsid w:val="00E84AC8"/>
    <w:rsid w:val="00E84C46"/>
    <w:rsid w:val="00E859E1"/>
    <w:rsid w:val="00E87668"/>
    <w:rsid w:val="00E87849"/>
    <w:rsid w:val="00E87D7A"/>
    <w:rsid w:val="00E92AAD"/>
    <w:rsid w:val="00E937F2"/>
    <w:rsid w:val="00E943C9"/>
    <w:rsid w:val="00E9459E"/>
    <w:rsid w:val="00E95B56"/>
    <w:rsid w:val="00E96B2B"/>
    <w:rsid w:val="00E97DDA"/>
    <w:rsid w:val="00EA0566"/>
    <w:rsid w:val="00EA2590"/>
    <w:rsid w:val="00EA335A"/>
    <w:rsid w:val="00EA38D6"/>
    <w:rsid w:val="00EA4433"/>
    <w:rsid w:val="00EA783C"/>
    <w:rsid w:val="00EA79D3"/>
    <w:rsid w:val="00EB23FD"/>
    <w:rsid w:val="00EB2444"/>
    <w:rsid w:val="00EB46E4"/>
    <w:rsid w:val="00EB4A04"/>
    <w:rsid w:val="00EB4E52"/>
    <w:rsid w:val="00EB6EEC"/>
    <w:rsid w:val="00EC1D69"/>
    <w:rsid w:val="00EC2635"/>
    <w:rsid w:val="00EC5336"/>
    <w:rsid w:val="00EC58E5"/>
    <w:rsid w:val="00EC618A"/>
    <w:rsid w:val="00EC62BD"/>
    <w:rsid w:val="00EC7412"/>
    <w:rsid w:val="00EC7B88"/>
    <w:rsid w:val="00ED0DFC"/>
    <w:rsid w:val="00ED254A"/>
    <w:rsid w:val="00ED2581"/>
    <w:rsid w:val="00ED271B"/>
    <w:rsid w:val="00ED290D"/>
    <w:rsid w:val="00ED4E19"/>
    <w:rsid w:val="00ED5FAB"/>
    <w:rsid w:val="00ED6C62"/>
    <w:rsid w:val="00ED7259"/>
    <w:rsid w:val="00ED76BA"/>
    <w:rsid w:val="00EE066A"/>
    <w:rsid w:val="00EE097A"/>
    <w:rsid w:val="00EE1725"/>
    <w:rsid w:val="00EE3105"/>
    <w:rsid w:val="00EE39F2"/>
    <w:rsid w:val="00EE4435"/>
    <w:rsid w:val="00EE482F"/>
    <w:rsid w:val="00EE4866"/>
    <w:rsid w:val="00EE694E"/>
    <w:rsid w:val="00EE71FF"/>
    <w:rsid w:val="00EE76FE"/>
    <w:rsid w:val="00EF0A1E"/>
    <w:rsid w:val="00EF10CD"/>
    <w:rsid w:val="00EF20DE"/>
    <w:rsid w:val="00EF3F28"/>
    <w:rsid w:val="00EF40FE"/>
    <w:rsid w:val="00EF4101"/>
    <w:rsid w:val="00EF73E2"/>
    <w:rsid w:val="00F03148"/>
    <w:rsid w:val="00F052BA"/>
    <w:rsid w:val="00F05CD7"/>
    <w:rsid w:val="00F06760"/>
    <w:rsid w:val="00F07771"/>
    <w:rsid w:val="00F07FC6"/>
    <w:rsid w:val="00F10737"/>
    <w:rsid w:val="00F10BC8"/>
    <w:rsid w:val="00F11B54"/>
    <w:rsid w:val="00F12F88"/>
    <w:rsid w:val="00F1448D"/>
    <w:rsid w:val="00F14E24"/>
    <w:rsid w:val="00F1554D"/>
    <w:rsid w:val="00F15771"/>
    <w:rsid w:val="00F17C24"/>
    <w:rsid w:val="00F22AB9"/>
    <w:rsid w:val="00F23260"/>
    <w:rsid w:val="00F23D25"/>
    <w:rsid w:val="00F240D6"/>
    <w:rsid w:val="00F26A79"/>
    <w:rsid w:val="00F27BC7"/>
    <w:rsid w:val="00F30754"/>
    <w:rsid w:val="00F308C4"/>
    <w:rsid w:val="00F32A30"/>
    <w:rsid w:val="00F35FD5"/>
    <w:rsid w:val="00F40669"/>
    <w:rsid w:val="00F40EC3"/>
    <w:rsid w:val="00F4438A"/>
    <w:rsid w:val="00F465A5"/>
    <w:rsid w:val="00F465E9"/>
    <w:rsid w:val="00F504F2"/>
    <w:rsid w:val="00F50624"/>
    <w:rsid w:val="00F5457D"/>
    <w:rsid w:val="00F554A3"/>
    <w:rsid w:val="00F56051"/>
    <w:rsid w:val="00F6186B"/>
    <w:rsid w:val="00F619C5"/>
    <w:rsid w:val="00F624B7"/>
    <w:rsid w:val="00F62528"/>
    <w:rsid w:val="00F62708"/>
    <w:rsid w:val="00F64D6A"/>
    <w:rsid w:val="00F66058"/>
    <w:rsid w:val="00F662DD"/>
    <w:rsid w:val="00F679FC"/>
    <w:rsid w:val="00F71BCD"/>
    <w:rsid w:val="00F72178"/>
    <w:rsid w:val="00F737FF"/>
    <w:rsid w:val="00F763DF"/>
    <w:rsid w:val="00F7731B"/>
    <w:rsid w:val="00F775B6"/>
    <w:rsid w:val="00F8078D"/>
    <w:rsid w:val="00F82152"/>
    <w:rsid w:val="00F839A7"/>
    <w:rsid w:val="00F85431"/>
    <w:rsid w:val="00F86AFF"/>
    <w:rsid w:val="00F8754F"/>
    <w:rsid w:val="00F876C3"/>
    <w:rsid w:val="00F9223D"/>
    <w:rsid w:val="00F92D35"/>
    <w:rsid w:val="00F94EEE"/>
    <w:rsid w:val="00F951BE"/>
    <w:rsid w:val="00F961FB"/>
    <w:rsid w:val="00F96401"/>
    <w:rsid w:val="00FA0082"/>
    <w:rsid w:val="00FA03ED"/>
    <w:rsid w:val="00FA0740"/>
    <w:rsid w:val="00FA07D2"/>
    <w:rsid w:val="00FA1041"/>
    <w:rsid w:val="00FA13F9"/>
    <w:rsid w:val="00FA1E56"/>
    <w:rsid w:val="00FA3D71"/>
    <w:rsid w:val="00FA56D2"/>
    <w:rsid w:val="00FB0B9E"/>
    <w:rsid w:val="00FB2821"/>
    <w:rsid w:val="00FB3189"/>
    <w:rsid w:val="00FB3480"/>
    <w:rsid w:val="00FB4AD0"/>
    <w:rsid w:val="00FB521C"/>
    <w:rsid w:val="00FB5CBF"/>
    <w:rsid w:val="00FB5E63"/>
    <w:rsid w:val="00FB6796"/>
    <w:rsid w:val="00FB6D2B"/>
    <w:rsid w:val="00FC08FD"/>
    <w:rsid w:val="00FC0D85"/>
    <w:rsid w:val="00FC1BCE"/>
    <w:rsid w:val="00FC1C31"/>
    <w:rsid w:val="00FC2B03"/>
    <w:rsid w:val="00FC5952"/>
    <w:rsid w:val="00FC7763"/>
    <w:rsid w:val="00FD3112"/>
    <w:rsid w:val="00FD3B6C"/>
    <w:rsid w:val="00FD4C68"/>
    <w:rsid w:val="00FD5317"/>
    <w:rsid w:val="00FE3A45"/>
    <w:rsid w:val="00FE44AA"/>
    <w:rsid w:val="00FE4804"/>
    <w:rsid w:val="00FE4B99"/>
    <w:rsid w:val="00FE5491"/>
    <w:rsid w:val="00FE688A"/>
    <w:rsid w:val="00FE6B5E"/>
    <w:rsid w:val="00FF120D"/>
    <w:rsid w:val="00FF44AC"/>
    <w:rsid w:val="00FF4A4A"/>
    <w:rsid w:val="00FF4B51"/>
    <w:rsid w:val="00FF68F4"/>
    <w:rsid w:val="00FF6DB5"/>
    <w:rsid w:val="00FF70BC"/>
    <w:rsid w:val="00FF7340"/>
    <w:rsid w:val="0C5C21A5"/>
    <w:rsid w:val="3AD80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semiHidden="0" w:name="heading 4"/>
    <w:lsdException w:qFormat="1" w:uiPriority="9" w:semiHidden="0" w:name="heading 5"/>
    <w:lsdException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uiPriority="39" w:semiHidden="0" w:name="toc 9"/>
    <w:lsdException w:uiPriority="99" w:name="Normal Indent"/>
    <w:lsdException w:qFormat="1"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99" w:name="Placeholder Text"/>
    <w:lsdException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Theme="minorEastAsia" w:cstheme="minorBidi"/>
      <w:kern w:val="2"/>
      <w:sz w:val="24"/>
      <w:szCs w:val="22"/>
      <w:lang w:val="en-US" w:eastAsia="zh-CN" w:bidi="ar-SA"/>
    </w:rPr>
  </w:style>
  <w:style w:type="paragraph" w:styleId="2">
    <w:name w:val="heading 1"/>
    <w:basedOn w:val="1"/>
    <w:next w:val="1"/>
    <w:link w:val="50"/>
    <w:qFormat/>
    <w:uiPriority w:val="9"/>
    <w:pPr>
      <w:keepNext/>
      <w:keepLines/>
      <w:numPr>
        <w:ilvl w:val="0"/>
        <w:numId w:val="1"/>
      </w:numPr>
      <w:adjustRightInd w:val="0"/>
      <w:snapToGrid w:val="0"/>
      <w:ind w:left="0" w:firstLine="0" w:firstLineChars="0"/>
      <w:jc w:val="center"/>
      <w:outlineLvl w:val="0"/>
    </w:pPr>
    <w:rPr>
      <w:rFonts w:eastAsia="黑体"/>
      <w:bCs/>
      <w:kern w:val="44"/>
      <w:sz w:val="28"/>
      <w:szCs w:val="44"/>
    </w:rPr>
  </w:style>
  <w:style w:type="paragraph" w:styleId="3">
    <w:name w:val="heading 2"/>
    <w:basedOn w:val="1"/>
    <w:next w:val="1"/>
    <w:link w:val="35"/>
    <w:unhideWhenUsed/>
    <w:qFormat/>
    <w:uiPriority w:val="9"/>
    <w:pPr>
      <w:keepNext/>
      <w:keepLines/>
      <w:numPr>
        <w:ilvl w:val="1"/>
        <w:numId w:val="1"/>
      </w:numPr>
      <w:adjustRightInd w:val="0"/>
      <w:snapToGrid w:val="0"/>
      <w:spacing w:before="100" w:beforeLines="100"/>
      <w:ind w:left="0" w:firstLine="0" w:firstLineChars="0"/>
      <w:jc w:val="center"/>
      <w:outlineLvl w:val="1"/>
    </w:pPr>
    <w:rPr>
      <w:rFonts w:eastAsia="黑体" w:cstheme="majorBidi"/>
      <w:b/>
      <w:bCs/>
      <w:szCs w:val="32"/>
    </w:rPr>
  </w:style>
  <w:style w:type="paragraph" w:styleId="4">
    <w:name w:val="heading 3"/>
    <w:basedOn w:val="1"/>
    <w:next w:val="1"/>
    <w:link w:val="36"/>
    <w:qFormat/>
    <w:uiPriority w:val="9"/>
    <w:pPr>
      <w:widowControl/>
      <w:numPr>
        <w:ilvl w:val="2"/>
        <w:numId w:val="1"/>
      </w:numPr>
      <w:ind w:left="0" w:firstLine="0" w:firstLineChars="0"/>
      <w:jc w:val="left"/>
      <w:outlineLvl w:val="2"/>
    </w:pPr>
    <w:rPr>
      <w:rFonts w:eastAsia="宋体" w:cs="宋体"/>
      <w:bCs/>
      <w:kern w:val="0"/>
      <w:szCs w:val="27"/>
    </w:rPr>
  </w:style>
  <w:style w:type="paragraph" w:styleId="5">
    <w:name w:val="heading 4"/>
    <w:basedOn w:val="1"/>
    <w:next w:val="1"/>
    <w:link w:val="76"/>
    <w:unhideWhenUsed/>
    <w:qFormat/>
    <w:uiPriority w:val="9"/>
    <w:pPr>
      <w:numPr>
        <w:ilvl w:val="3"/>
        <w:numId w:val="1"/>
      </w:numPr>
      <w:ind w:left="0" w:firstLine="200"/>
      <w:outlineLvl w:val="3"/>
    </w:pPr>
    <w:rPr>
      <w:rFonts w:eastAsiaTheme="majorEastAsia" w:cstheme="majorBidi"/>
      <w:bCs/>
      <w:szCs w:val="28"/>
    </w:rPr>
  </w:style>
  <w:style w:type="paragraph" w:styleId="6">
    <w:name w:val="heading 5"/>
    <w:basedOn w:val="1"/>
    <w:next w:val="1"/>
    <w:link w:val="67"/>
    <w:unhideWhenUsed/>
    <w:qFormat/>
    <w:uiPriority w:val="9"/>
    <w:pPr>
      <w:keepNext/>
      <w:keepLines/>
      <w:numPr>
        <w:ilvl w:val="4"/>
        <w:numId w:val="1"/>
      </w:numPr>
      <w:ind w:left="400" w:leftChars="200" w:hanging="200" w:hangingChars="200"/>
      <w:outlineLvl w:val="4"/>
    </w:pPr>
    <w:rPr>
      <w:bCs/>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spacing w:line="240" w:lineRule="auto"/>
      <w:ind w:left="2520" w:leftChars="1200"/>
    </w:pPr>
    <w:rPr>
      <w:sz w:val="21"/>
    </w:rPr>
  </w:style>
  <w:style w:type="paragraph" w:styleId="8">
    <w:name w:val="caption"/>
    <w:basedOn w:val="1"/>
    <w:next w:val="1"/>
    <w:link w:val="71"/>
    <w:unhideWhenUsed/>
    <w:qFormat/>
    <w:uiPriority w:val="35"/>
    <w:pPr>
      <w:jc w:val="center"/>
    </w:pPr>
    <w:rPr>
      <w:rFonts w:eastAsia="黑体" w:cstheme="majorBidi"/>
      <w:b/>
      <w:sz w:val="21"/>
      <w:szCs w:val="20"/>
    </w:rPr>
  </w:style>
  <w:style w:type="paragraph" w:styleId="9">
    <w:name w:val="annotation text"/>
    <w:basedOn w:val="1"/>
    <w:link w:val="68"/>
    <w:semiHidden/>
    <w:unhideWhenUsed/>
    <w:uiPriority w:val="99"/>
    <w:pPr>
      <w:jc w:val="left"/>
    </w:pPr>
  </w:style>
  <w:style w:type="paragraph" w:styleId="10">
    <w:name w:val="toc 5"/>
    <w:basedOn w:val="1"/>
    <w:next w:val="1"/>
    <w:unhideWhenUsed/>
    <w:qFormat/>
    <w:uiPriority w:val="39"/>
    <w:pPr>
      <w:spacing w:line="240" w:lineRule="auto"/>
      <w:ind w:left="1680" w:leftChars="800"/>
    </w:pPr>
    <w:rPr>
      <w:sz w:val="21"/>
    </w:rPr>
  </w:style>
  <w:style w:type="paragraph" w:styleId="11">
    <w:name w:val="toc 3"/>
    <w:basedOn w:val="1"/>
    <w:next w:val="1"/>
    <w:unhideWhenUsed/>
    <w:qFormat/>
    <w:uiPriority w:val="39"/>
    <w:pPr>
      <w:widowControl/>
      <w:spacing w:after="100" w:line="276" w:lineRule="auto"/>
      <w:ind w:left="440"/>
      <w:jc w:val="left"/>
    </w:pPr>
    <w:rPr>
      <w:kern w:val="0"/>
      <w:sz w:val="22"/>
    </w:rPr>
  </w:style>
  <w:style w:type="paragraph" w:styleId="12">
    <w:name w:val="toc 8"/>
    <w:basedOn w:val="1"/>
    <w:next w:val="1"/>
    <w:unhideWhenUsed/>
    <w:qFormat/>
    <w:uiPriority w:val="39"/>
    <w:pPr>
      <w:spacing w:line="240" w:lineRule="auto"/>
      <w:ind w:left="2940" w:leftChars="1400"/>
    </w:pPr>
    <w:rPr>
      <w:sz w:val="21"/>
    </w:rPr>
  </w:style>
  <w:style w:type="paragraph" w:styleId="13">
    <w:name w:val="Date"/>
    <w:basedOn w:val="1"/>
    <w:next w:val="1"/>
    <w:link w:val="42"/>
    <w:semiHidden/>
    <w:unhideWhenUsed/>
    <w:qFormat/>
    <w:uiPriority w:val="99"/>
    <w:pPr>
      <w:ind w:left="100" w:leftChars="2500"/>
    </w:pPr>
  </w:style>
  <w:style w:type="paragraph" w:styleId="14">
    <w:name w:val="endnote text"/>
    <w:basedOn w:val="1"/>
    <w:link w:val="60"/>
    <w:semiHidden/>
    <w:unhideWhenUsed/>
    <w:qFormat/>
    <w:uiPriority w:val="99"/>
    <w:pPr>
      <w:snapToGrid w:val="0"/>
      <w:jc w:val="left"/>
    </w:pPr>
  </w:style>
  <w:style w:type="paragraph" w:styleId="15">
    <w:name w:val="Balloon Text"/>
    <w:basedOn w:val="1"/>
    <w:link w:val="41"/>
    <w:semiHidden/>
    <w:unhideWhenUsed/>
    <w:qFormat/>
    <w:uiPriority w:val="99"/>
    <w:rPr>
      <w:sz w:val="18"/>
      <w:szCs w:val="18"/>
    </w:rPr>
  </w:style>
  <w:style w:type="paragraph" w:styleId="16">
    <w:name w:val="footer"/>
    <w:basedOn w:val="1"/>
    <w:link w:val="38"/>
    <w:unhideWhenUsed/>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widowControl/>
      <w:tabs>
        <w:tab w:val="left" w:pos="224"/>
        <w:tab w:val="right" w:leader="dot" w:pos="8296"/>
      </w:tabs>
      <w:spacing w:after="100" w:line="276" w:lineRule="auto"/>
      <w:jc w:val="left"/>
    </w:pPr>
    <w:rPr>
      <w:kern w:val="0"/>
      <w:sz w:val="22"/>
    </w:rPr>
  </w:style>
  <w:style w:type="paragraph" w:styleId="19">
    <w:name w:val="toc 4"/>
    <w:basedOn w:val="1"/>
    <w:next w:val="1"/>
    <w:unhideWhenUsed/>
    <w:qFormat/>
    <w:uiPriority w:val="39"/>
    <w:pPr>
      <w:spacing w:line="240" w:lineRule="auto"/>
      <w:ind w:left="1260" w:leftChars="600"/>
    </w:pPr>
    <w:rPr>
      <w:sz w:val="21"/>
    </w:rPr>
  </w:style>
  <w:style w:type="paragraph" w:styleId="20">
    <w:name w:val="footnote text"/>
    <w:basedOn w:val="1"/>
    <w:link w:val="57"/>
    <w:semiHidden/>
    <w:unhideWhenUsed/>
    <w:qFormat/>
    <w:uiPriority w:val="99"/>
    <w:pPr>
      <w:snapToGrid w:val="0"/>
      <w:jc w:val="left"/>
    </w:pPr>
    <w:rPr>
      <w:sz w:val="18"/>
      <w:szCs w:val="18"/>
    </w:rPr>
  </w:style>
  <w:style w:type="paragraph" w:styleId="21">
    <w:name w:val="toc 6"/>
    <w:basedOn w:val="1"/>
    <w:next w:val="1"/>
    <w:unhideWhenUsed/>
    <w:qFormat/>
    <w:uiPriority w:val="39"/>
    <w:pPr>
      <w:spacing w:line="240" w:lineRule="auto"/>
      <w:ind w:left="2100" w:leftChars="1000"/>
    </w:pPr>
    <w:rPr>
      <w:sz w:val="21"/>
    </w:rPr>
  </w:style>
  <w:style w:type="paragraph" w:styleId="22">
    <w:name w:val="toc 2"/>
    <w:basedOn w:val="1"/>
    <w:next w:val="1"/>
    <w:unhideWhenUsed/>
    <w:qFormat/>
    <w:uiPriority w:val="39"/>
    <w:pPr>
      <w:widowControl/>
      <w:spacing w:after="100" w:line="276" w:lineRule="auto"/>
      <w:ind w:left="220"/>
      <w:jc w:val="left"/>
    </w:pPr>
    <w:rPr>
      <w:kern w:val="0"/>
      <w:sz w:val="22"/>
    </w:rPr>
  </w:style>
  <w:style w:type="paragraph" w:styleId="23">
    <w:name w:val="toc 9"/>
    <w:basedOn w:val="1"/>
    <w:next w:val="1"/>
    <w:unhideWhenUsed/>
    <w:uiPriority w:val="39"/>
    <w:pPr>
      <w:spacing w:line="240" w:lineRule="auto"/>
      <w:ind w:left="3360" w:leftChars="1600"/>
    </w:pPr>
    <w:rPr>
      <w:sz w:val="21"/>
    </w:rPr>
  </w:style>
  <w:style w:type="paragraph" w:styleId="24">
    <w:name w:val="Title"/>
    <w:basedOn w:val="1"/>
    <w:next w:val="1"/>
    <w:link w:val="66"/>
    <w:uiPriority w:val="10"/>
    <w:pPr>
      <w:spacing w:before="240" w:after="60"/>
      <w:jc w:val="center"/>
      <w:outlineLvl w:val="0"/>
    </w:pPr>
    <w:rPr>
      <w:rFonts w:eastAsia="宋体" w:cstheme="majorBidi"/>
      <w:b/>
      <w:bCs/>
      <w:sz w:val="32"/>
      <w:szCs w:val="32"/>
    </w:rPr>
  </w:style>
  <w:style w:type="paragraph" w:styleId="25">
    <w:name w:val="annotation subject"/>
    <w:basedOn w:val="9"/>
    <w:next w:val="9"/>
    <w:link w:val="69"/>
    <w:semiHidden/>
    <w:unhideWhenUsed/>
    <w:qFormat/>
    <w:uiPriority w:val="99"/>
    <w:rPr>
      <w:b/>
      <w:bCs/>
    </w:r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endnote reference"/>
    <w:basedOn w:val="28"/>
    <w:semiHidden/>
    <w:unhideWhenUsed/>
    <w:qFormat/>
    <w:uiPriority w:val="99"/>
    <w:rPr>
      <w:vertAlign w:val="superscript"/>
    </w:rPr>
  </w:style>
  <w:style w:type="character" w:styleId="30">
    <w:name w:val="page number"/>
    <w:basedOn w:val="28"/>
    <w:uiPriority w:val="0"/>
  </w:style>
  <w:style w:type="character" w:styleId="31">
    <w:name w:val="Emphasis"/>
    <w:basedOn w:val="28"/>
    <w:uiPriority w:val="20"/>
    <w:rPr>
      <w:i/>
      <w:iCs/>
    </w:rPr>
  </w:style>
  <w:style w:type="character" w:styleId="32">
    <w:name w:val="Hyperlink"/>
    <w:basedOn w:val="28"/>
    <w:unhideWhenUsed/>
    <w:uiPriority w:val="99"/>
    <w:rPr>
      <w:color w:val="0000FF" w:themeColor="hyperlink"/>
      <w:u w:val="single"/>
      <w14:textFill>
        <w14:solidFill>
          <w14:schemeClr w14:val="hlink"/>
        </w14:solidFill>
      </w14:textFill>
    </w:rPr>
  </w:style>
  <w:style w:type="character" w:styleId="33">
    <w:name w:val="annotation reference"/>
    <w:basedOn w:val="28"/>
    <w:semiHidden/>
    <w:unhideWhenUsed/>
    <w:qFormat/>
    <w:uiPriority w:val="99"/>
    <w:rPr>
      <w:sz w:val="21"/>
      <w:szCs w:val="21"/>
    </w:rPr>
  </w:style>
  <w:style w:type="character" w:styleId="34">
    <w:name w:val="footnote reference"/>
    <w:basedOn w:val="28"/>
    <w:semiHidden/>
    <w:unhideWhenUsed/>
    <w:qFormat/>
    <w:uiPriority w:val="99"/>
    <w:rPr>
      <w:vertAlign w:val="superscript"/>
    </w:rPr>
  </w:style>
  <w:style w:type="character" w:customStyle="1" w:styleId="35">
    <w:name w:val="标题 2 Char"/>
    <w:basedOn w:val="28"/>
    <w:link w:val="3"/>
    <w:qFormat/>
    <w:uiPriority w:val="9"/>
    <w:rPr>
      <w:rFonts w:ascii="Times New Roman" w:hAnsi="Times New Roman" w:eastAsia="黑体" w:cstheme="majorBidi"/>
      <w:b/>
      <w:bCs/>
      <w:kern w:val="2"/>
      <w:sz w:val="24"/>
      <w:szCs w:val="32"/>
    </w:rPr>
  </w:style>
  <w:style w:type="character" w:customStyle="1" w:styleId="36">
    <w:name w:val="标题 3 Char"/>
    <w:basedOn w:val="28"/>
    <w:link w:val="4"/>
    <w:qFormat/>
    <w:uiPriority w:val="9"/>
    <w:rPr>
      <w:rFonts w:ascii="Times New Roman" w:hAnsi="Times New Roman" w:eastAsia="宋体" w:cs="宋体"/>
      <w:bCs/>
      <w:sz w:val="24"/>
      <w:szCs w:val="27"/>
    </w:rPr>
  </w:style>
  <w:style w:type="character" w:customStyle="1" w:styleId="37">
    <w:name w:val="页眉 Char"/>
    <w:basedOn w:val="28"/>
    <w:link w:val="17"/>
    <w:qFormat/>
    <w:uiPriority w:val="0"/>
    <w:rPr>
      <w:sz w:val="18"/>
      <w:szCs w:val="18"/>
    </w:rPr>
  </w:style>
  <w:style w:type="character" w:customStyle="1" w:styleId="38">
    <w:name w:val="页脚 Char1"/>
    <w:basedOn w:val="28"/>
    <w:link w:val="16"/>
    <w:qFormat/>
    <w:uiPriority w:val="99"/>
    <w:rPr>
      <w:sz w:val="18"/>
      <w:szCs w:val="18"/>
    </w:rPr>
  </w:style>
  <w:style w:type="character" w:customStyle="1" w:styleId="39">
    <w:name w:val="页脚 Char"/>
    <w:basedOn w:val="28"/>
    <w:uiPriority w:val="99"/>
    <w:rPr>
      <w:sz w:val="18"/>
      <w:szCs w:val="18"/>
    </w:rPr>
  </w:style>
  <w:style w:type="paragraph" w:styleId="40">
    <w:name w:val="List Paragraph"/>
    <w:basedOn w:val="1"/>
    <w:uiPriority w:val="0"/>
    <w:pPr>
      <w:ind w:firstLine="420"/>
    </w:pPr>
  </w:style>
  <w:style w:type="character" w:customStyle="1" w:styleId="41">
    <w:name w:val="批注框文本 Char"/>
    <w:basedOn w:val="28"/>
    <w:link w:val="15"/>
    <w:semiHidden/>
    <w:qFormat/>
    <w:uiPriority w:val="99"/>
    <w:rPr>
      <w:sz w:val="18"/>
      <w:szCs w:val="18"/>
    </w:rPr>
  </w:style>
  <w:style w:type="character" w:customStyle="1" w:styleId="42">
    <w:name w:val="日期 Char"/>
    <w:basedOn w:val="28"/>
    <w:link w:val="13"/>
    <w:semiHidden/>
    <w:qFormat/>
    <w:uiPriority w:val="99"/>
  </w:style>
  <w:style w:type="paragraph" w:styleId="43">
    <w:name w:val="No Spacing"/>
    <w:link w:val="52"/>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44">
    <w:name w:val="正文文本 (2)_"/>
    <w:basedOn w:val="28"/>
    <w:link w:val="45"/>
    <w:uiPriority w:val="0"/>
    <w:rPr>
      <w:rFonts w:ascii="宋体" w:hAnsi="宋体" w:eastAsia="宋体" w:cs="宋体"/>
      <w:sz w:val="22"/>
      <w:shd w:val="clear" w:color="auto" w:fill="FFFFFF"/>
    </w:rPr>
  </w:style>
  <w:style w:type="paragraph" w:customStyle="1" w:styleId="45">
    <w:name w:val="正文文本 (2)"/>
    <w:basedOn w:val="1"/>
    <w:link w:val="44"/>
    <w:uiPriority w:val="0"/>
    <w:pPr>
      <w:shd w:val="clear" w:color="auto" w:fill="FFFFFF"/>
      <w:spacing w:after="50" w:afterLines="50" w:line="432" w:lineRule="exact"/>
      <w:ind w:hanging="160"/>
      <w:jc w:val="distribute"/>
    </w:pPr>
    <w:rPr>
      <w:rFonts w:ascii="宋体" w:hAnsi="宋体" w:eastAsia="宋体" w:cs="宋体"/>
      <w:sz w:val="22"/>
    </w:rPr>
  </w:style>
  <w:style w:type="character" w:customStyle="1" w:styleId="46">
    <w:name w:val="正文文本 (2) + Times New Roman"/>
    <w:basedOn w:val="44"/>
    <w:uiPriority w:val="0"/>
    <w:rPr>
      <w:rFonts w:ascii="Times New Roman" w:hAnsi="Times New Roman" w:eastAsia="Times New Roman" w:cs="Times New Roman"/>
      <w:color w:val="000000"/>
      <w:spacing w:val="0"/>
      <w:w w:val="75"/>
      <w:position w:val="0"/>
      <w:sz w:val="23"/>
      <w:szCs w:val="23"/>
      <w:shd w:val="clear" w:color="auto" w:fill="FFFFFF"/>
      <w:lang w:val="en-US" w:eastAsia="en-US" w:bidi="en-US"/>
    </w:rPr>
  </w:style>
  <w:style w:type="character" w:customStyle="1" w:styleId="47">
    <w:name w:val="正文文本 (2) + 9 pt"/>
    <w:basedOn w:val="44"/>
    <w:uiPriority w:val="0"/>
    <w:rPr>
      <w:rFonts w:ascii="宋体" w:hAnsi="宋体" w:eastAsia="宋体" w:cs="宋体"/>
      <w:color w:val="000000"/>
      <w:spacing w:val="0"/>
      <w:w w:val="100"/>
      <w:position w:val="0"/>
      <w:sz w:val="18"/>
      <w:szCs w:val="18"/>
      <w:u w:val="none"/>
      <w:shd w:val="clear" w:color="auto" w:fill="FFFFFF"/>
      <w:lang w:val="zh-CN" w:eastAsia="zh-CN" w:bidi="zh-CN"/>
    </w:rPr>
  </w:style>
  <w:style w:type="character" w:customStyle="1" w:styleId="48">
    <w:name w:val="正文文本 (23) + Times New Roman"/>
    <w:basedOn w:val="28"/>
    <w:uiPriority w:val="0"/>
    <w:rPr>
      <w:rFonts w:ascii="Times New Roman" w:hAnsi="Times New Roman" w:eastAsia="Times New Roman" w:cs="Times New Roman"/>
      <w:color w:val="000000"/>
      <w:spacing w:val="0"/>
      <w:w w:val="100"/>
      <w:position w:val="0"/>
      <w:sz w:val="30"/>
      <w:szCs w:val="30"/>
      <w:u w:val="single"/>
      <w:shd w:val="clear" w:color="auto" w:fill="FFFFFF"/>
      <w:lang w:val="en-US" w:eastAsia="en-US" w:bidi="en-US"/>
    </w:rPr>
  </w:style>
  <w:style w:type="character" w:customStyle="1" w:styleId="49">
    <w:name w:val="正文文本 (2) + 10 pt"/>
    <w:basedOn w:val="44"/>
    <w:uiPriority w:val="0"/>
    <w:rPr>
      <w:rFonts w:ascii="宋体" w:hAnsi="宋体" w:eastAsia="宋体" w:cs="宋体"/>
      <w:color w:val="000000"/>
      <w:spacing w:val="0"/>
      <w:w w:val="100"/>
      <w:position w:val="0"/>
      <w:sz w:val="20"/>
      <w:szCs w:val="20"/>
      <w:u w:val="none"/>
      <w:shd w:val="clear" w:color="auto" w:fill="FFFFFF"/>
      <w:lang w:val="zh-CN" w:eastAsia="zh-CN" w:bidi="zh-CN"/>
    </w:rPr>
  </w:style>
  <w:style w:type="character" w:customStyle="1" w:styleId="50">
    <w:name w:val="标题 1 Char"/>
    <w:basedOn w:val="28"/>
    <w:link w:val="2"/>
    <w:uiPriority w:val="9"/>
    <w:rPr>
      <w:rFonts w:ascii="Times New Roman" w:hAnsi="Times New Roman" w:eastAsia="黑体"/>
      <w:bCs/>
      <w:kern w:val="44"/>
      <w:sz w:val="28"/>
      <w:szCs w:val="44"/>
    </w:rPr>
  </w:style>
  <w:style w:type="paragraph" w:customStyle="1" w:styleId="51">
    <w:name w:val="TOC 标题1"/>
    <w:basedOn w:val="2"/>
    <w:next w:val="1"/>
    <w:semiHidden/>
    <w:unhideWhenUsed/>
    <w:qFormat/>
    <w:uiPriority w:val="39"/>
    <w:pPr>
      <w:widowControl/>
      <w:spacing w:before="480" w:line="276" w:lineRule="auto"/>
      <w:outlineLvl w:val="9"/>
    </w:pPr>
    <w:rPr>
      <w:rFonts w:asciiTheme="majorHAnsi" w:hAnsiTheme="majorHAnsi" w:eastAsiaTheme="majorEastAsia" w:cstheme="majorBidi"/>
      <w:b/>
      <w:color w:val="376092" w:themeColor="accent1" w:themeShade="BF"/>
      <w:kern w:val="0"/>
      <w:szCs w:val="28"/>
    </w:rPr>
  </w:style>
  <w:style w:type="character" w:customStyle="1" w:styleId="52">
    <w:name w:val="无间隔 Char"/>
    <w:basedOn w:val="28"/>
    <w:link w:val="43"/>
    <w:uiPriority w:val="1"/>
  </w:style>
  <w:style w:type="character" w:styleId="53">
    <w:name w:val="Placeholder Text"/>
    <w:basedOn w:val="28"/>
    <w:semiHidden/>
    <w:uiPriority w:val="99"/>
    <w:rPr>
      <w:color w:val="808080"/>
    </w:rPr>
  </w:style>
  <w:style w:type="paragraph" w:customStyle="1" w:styleId="54">
    <w:name w:val="正 文"/>
    <w:basedOn w:val="1"/>
    <w:link w:val="55"/>
    <w:uiPriority w:val="5"/>
    <w:pPr>
      <w:adjustRightInd w:val="0"/>
      <w:ind w:firstLine="480"/>
    </w:pPr>
    <w:rPr>
      <w:rFonts w:eastAsia="宋体" w:cs="Times New Roman"/>
      <w:kern w:val="0"/>
      <w:szCs w:val="20"/>
      <w:lang w:val="zh-CN"/>
    </w:rPr>
  </w:style>
  <w:style w:type="character" w:customStyle="1" w:styleId="55">
    <w:name w:val="正 文 Char"/>
    <w:link w:val="54"/>
    <w:qFormat/>
    <w:uiPriority w:val="5"/>
    <w:rPr>
      <w:rFonts w:ascii="Times New Roman" w:hAnsi="Times New Roman" w:eastAsia="宋体" w:cs="Times New Roman"/>
      <w:kern w:val="0"/>
      <w:sz w:val="24"/>
      <w:szCs w:val="20"/>
      <w:lang w:val="zh-CN" w:eastAsia="zh-CN"/>
    </w:rPr>
  </w:style>
  <w:style w:type="character" w:customStyle="1" w:styleId="56">
    <w:name w:val="图表名"/>
    <w:uiPriority w:val="33"/>
    <w:rPr>
      <w:rFonts w:ascii="Times New Roman" w:hAnsi="Times New Roman" w:eastAsia="黑体"/>
      <w:bCs/>
      <w:smallCaps/>
      <w:spacing w:val="5"/>
      <w:sz w:val="21"/>
    </w:rPr>
  </w:style>
  <w:style w:type="character" w:customStyle="1" w:styleId="57">
    <w:name w:val="脚注文本 Char"/>
    <w:basedOn w:val="28"/>
    <w:link w:val="20"/>
    <w:semiHidden/>
    <w:qFormat/>
    <w:uiPriority w:val="99"/>
    <w:rPr>
      <w:sz w:val="18"/>
      <w:szCs w:val="18"/>
    </w:rPr>
  </w:style>
  <w:style w:type="paragraph" w:customStyle="1" w:styleId="58">
    <w:name w:val="表名"/>
    <w:basedOn w:val="4"/>
    <w:uiPriority w:val="0"/>
    <w:pPr>
      <w:ind w:firstLine="720" w:firstLineChars="300"/>
      <w:jc w:val="center"/>
    </w:pPr>
    <w:rPr>
      <w:rFonts w:eastAsia="黑体" w:cs="Times New Roman"/>
      <w:sz w:val="21"/>
    </w:rPr>
  </w:style>
  <w:style w:type="paragraph" w:customStyle="1" w:styleId="59">
    <w:name w:val="表"/>
    <w:qFormat/>
    <w:uiPriority w:val="0"/>
    <w:pPr>
      <w:jc w:val="center"/>
    </w:pPr>
    <w:rPr>
      <w:rFonts w:ascii="Times New Roman" w:hAnsi="Times New Roman" w:eastAsia="宋体" w:cs="Times New Roman"/>
      <w:bCs/>
      <w:sz w:val="21"/>
      <w:szCs w:val="27"/>
      <w:lang w:val="en-US" w:eastAsia="zh-CN" w:bidi="ar-SA"/>
    </w:rPr>
  </w:style>
  <w:style w:type="character" w:customStyle="1" w:styleId="60">
    <w:name w:val="尾注文本 Char"/>
    <w:basedOn w:val="28"/>
    <w:link w:val="14"/>
    <w:semiHidden/>
    <w:qFormat/>
    <w:uiPriority w:val="99"/>
    <w:rPr>
      <w:sz w:val="24"/>
    </w:rPr>
  </w:style>
  <w:style w:type="paragraph" w:customStyle="1" w:styleId="61">
    <w:name w:val="K正文"/>
    <w:basedOn w:val="1"/>
    <w:link w:val="62"/>
    <w:uiPriority w:val="0"/>
    <w:pPr>
      <w:ind w:firstLine="480"/>
    </w:pPr>
    <w:rPr>
      <w:rFonts w:eastAsia="宋体" w:cs="宋体"/>
      <w:szCs w:val="24"/>
    </w:rPr>
  </w:style>
  <w:style w:type="character" w:customStyle="1" w:styleId="62">
    <w:name w:val="K正文 Char"/>
    <w:link w:val="61"/>
    <w:qFormat/>
    <w:uiPriority w:val="0"/>
    <w:rPr>
      <w:rFonts w:ascii="Times New Roman" w:hAnsi="Times New Roman" w:eastAsia="宋体" w:cs="宋体"/>
      <w:sz w:val="24"/>
      <w:szCs w:val="24"/>
    </w:rPr>
  </w:style>
  <w:style w:type="paragraph" w:customStyle="1" w:styleId="63">
    <w:name w:val="表中格式"/>
    <w:basedOn w:val="1"/>
    <w:uiPriority w:val="0"/>
    <w:pPr>
      <w:spacing w:line="240" w:lineRule="auto"/>
      <w:jc w:val="center"/>
    </w:pPr>
    <w:rPr>
      <w:rFonts w:eastAsia="宋体" w:cs="Times New Roman"/>
      <w:sz w:val="21"/>
      <w:szCs w:val="24"/>
    </w:rPr>
  </w:style>
  <w:style w:type="character" w:customStyle="1" w:styleId="64">
    <w:name w:val="图表名字 Char"/>
    <w:link w:val="65"/>
    <w:locked/>
    <w:uiPriority w:val="6"/>
    <w:rPr>
      <w:rFonts w:ascii="宋体" w:hAnsi="宋体" w:eastAsia="宋体"/>
      <w:b/>
    </w:rPr>
  </w:style>
  <w:style w:type="paragraph" w:customStyle="1" w:styleId="65">
    <w:name w:val="图表名字"/>
    <w:basedOn w:val="8"/>
    <w:link w:val="64"/>
    <w:uiPriority w:val="6"/>
    <w:pPr>
      <w:widowControl/>
    </w:pPr>
    <w:rPr>
      <w:rFonts w:ascii="宋体" w:hAnsi="宋体" w:eastAsia="宋体" w:cstheme="minorBidi"/>
      <w:b w:val="0"/>
      <w:szCs w:val="22"/>
    </w:rPr>
  </w:style>
  <w:style w:type="character" w:customStyle="1" w:styleId="66">
    <w:name w:val="标题 Char"/>
    <w:basedOn w:val="28"/>
    <w:link w:val="24"/>
    <w:qFormat/>
    <w:uiPriority w:val="10"/>
    <w:rPr>
      <w:rFonts w:ascii="Times New Roman" w:hAnsi="Times New Roman" w:eastAsia="宋体" w:cstheme="majorBidi"/>
      <w:b/>
      <w:bCs/>
      <w:kern w:val="2"/>
      <w:sz w:val="32"/>
      <w:szCs w:val="32"/>
    </w:rPr>
  </w:style>
  <w:style w:type="character" w:customStyle="1" w:styleId="67">
    <w:name w:val="标题 5 Char"/>
    <w:basedOn w:val="28"/>
    <w:link w:val="6"/>
    <w:uiPriority w:val="9"/>
    <w:rPr>
      <w:rFonts w:ascii="Times New Roman" w:hAnsi="Times New Roman"/>
      <w:bCs/>
      <w:kern w:val="2"/>
      <w:sz w:val="24"/>
      <w:szCs w:val="28"/>
    </w:rPr>
  </w:style>
  <w:style w:type="character" w:customStyle="1" w:styleId="68">
    <w:name w:val="批注文字 Char"/>
    <w:basedOn w:val="28"/>
    <w:link w:val="9"/>
    <w:semiHidden/>
    <w:qFormat/>
    <w:uiPriority w:val="99"/>
    <w:rPr>
      <w:sz w:val="24"/>
    </w:rPr>
  </w:style>
  <w:style w:type="character" w:customStyle="1" w:styleId="69">
    <w:name w:val="批注主题 Char"/>
    <w:basedOn w:val="68"/>
    <w:link w:val="25"/>
    <w:semiHidden/>
    <w:qFormat/>
    <w:uiPriority w:val="99"/>
    <w:rPr>
      <w:b/>
      <w:bCs/>
      <w:sz w:val="24"/>
    </w:rPr>
  </w:style>
  <w:style w:type="table" w:customStyle="1" w:styleId="70">
    <w:name w:val="网格型3"/>
    <w:basedOn w:val="26"/>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1">
    <w:name w:val="题注 Char"/>
    <w:basedOn w:val="28"/>
    <w:link w:val="8"/>
    <w:qFormat/>
    <w:uiPriority w:val="35"/>
    <w:rPr>
      <w:rFonts w:ascii="Times New Roman" w:hAnsi="Times New Roman" w:eastAsia="黑体" w:cstheme="majorBidi"/>
      <w:b/>
      <w:kern w:val="2"/>
      <w:sz w:val="21"/>
    </w:rPr>
  </w:style>
  <w:style w:type="paragraph" w:customStyle="1" w:styleId="72">
    <w:name w:val="图标号"/>
    <w:basedOn w:val="1"/>
    <w:uiPriority w:val="0"/>
    <w:pPr>
      <w:spacing w:beforeLines="50" w:afterLines="50" w:line="240" w:lineRule="auto"/>
      <w:jc w:val="center"/>
    </w:pPr>
    <w:rPr>
      <w:rFonts w:eastAsia="宋体" w:cs="Times New Roman"/>
      <w:sz w:val="21"/>
      <w:szCs w:val="24"/>
    </w:rPr>
  </w:style>
  <w:style w:type="character" w:customStyle="1" w:styleId="73">
    <w:name w:val="未处理的提及1"/>
    <w:basedOn w:val="28"/>
    <w:semiHidden/>
    <w:unhideWhenUsed/>
    <w:uiPriority w:val="99"/>
    <w:rPr>
      <w:color w:val="605E5C"/>
      <w:shd w:val="clear" w:color="auto" w:fill="E1DFDD"/>
    </w:rPr>
  </w:style>
  <w:style w:type="character" w:customStyle="1" w:styleId="74">
    <w:name w:val="未处理的提及2"/>
    <w:basedOn w:val="28"/>
    <w:semiHidden/>
    <w:unhideWhenUsed/>
    <w:qFormat/>
    <w:uiPriority w:val="99"/>
    <w:rPr>
      <w:color w:val="605E5C"/>
      <w:shd w:val="clear" w:color="auto" w:fill="E1DFDD"/>
    </w:rPr>
  </w:style>
  <w:style w:type="paragraph" w:customStyle="1" w:styleId="75">
    <w:name w:val="修订1"/>
    <w:hidden/>
    <w:semiHidden/>
    <w:uiPriority w:val="99"/>
    <w:rPr>
      <w:rFonts w:asciiTheme="minorHAnsi" w:hAnsiTheme="minorHAnsi" w:eastAsiaTheme="minorEastAsia" w:cstheme="minorBidi"/>
      <w:kern w:val="2"/>
      <w:sz w:val="24"/>
      <w:szCs w:val="22"/>
      <w:lang w:val="en-US" w:eastAsia="zh-CN" w:bidi="ar-SA"/>
    </w:rPr>
  </w:style>
  <w:style w:type="character" w:customStyle="1" w:styleId="76">
    <w:name w:val="标题 4 Char"/>
    <w:basedOn w:val="28"/>
    <w:link w:val="5"/>
    <w:uiPriority w:val="9"/>
    <w:rPr>
      <w:rFonts w:ascii="Times New Roman" w:hAnsi="Times New Roman" w:eastAsiaTheme="majorEastAsia" w:cstheme="majorBidi"/>
      <w:bCs/>
      <w:kern w:val="2"/>
      <w:sz w:val="24"/>
      <w:szCs w:val="28"/>
    </w:rPr>
  </w:style>
  <w:style w:type="paragraph" w:customStyle="1" w:styleId="77">
    <w:name w:val="标题3（无自动编号）"/>
    <w:basedOn w:val="1"/>
    <w:link w:val="79"/>
    <w:uiPriority w:val="0"/>
    <w:pPr>
      <w:ind w:firstLine="0" w:firstLineChars="0"/>
    </w:pPr>
  </w:style>
  <w:style w:type="paragraph" w:customStyle="1" w:styleId="78">
    <w:name w:val="标题4（无自动编号）"/>
    <w:basedOn w:val="1"/>
    <w:link w:val="81"/>
    <w:uiPriority w:val="0"/>
  </w:style>
  <w:style w:type="character" w:customStyle="1" w:styleId="79">
    <w:name w:val="标题3（无自动编号） 字符"/>
    <w:basedOn w:val="28"/>
    <w:link w:val="77"/>
    <w:uiPriority w:val="0"/>
    <w:rPr>
      <w:rFonts w:ascii="Times New Roman" w:hAnsi="Times New Roman"/>
      <w:kern w:val="2"/>
      <w:sz w:val="24"/>
      <w:szCs w:val="22"/>
    </w:rPr>
  </w:style>
  <w:style w:type="character" w:customStyle="1" w:styleId="80">
    <w:name w:val="Unresolved Mention"/>
    <w:basedOn w:val="28"/>
    <w:semiHidden/>
    <w:unhideWhenUsed/>
    <w:uiPriority w:val="99"/>
    <w:rPr>
      <w:color w:val="605E5C"/>
      <w:shd w:val="clear" w:color="auto" w:fill="E1DFDD"/>
    </w:rPr>
  </w:style>
  <w:style w:type="character" w:customStyle="1" w:styleId="81">
    <w:name w:val="标题4（无自动编号） 字符"/>
    <w:basedOn w:val="76"/>
    <w:link w:val="78"/>
    <w:uiPriority w:val="0"/>
    <w:rPr>
      <w:rFonts w:ascii="Times New Roman" w:hAnsi="Times New Roman" w:eastAsiaTheme="majorEastAsia" w:cstheme="majorBidi"/>
      <w:bCs w:val="0"/>
      <w:kern w:val="2"/>
      <w:sz w:val="24"/>
      <w:szCs w:val="22"/>
    </w:rPr>
  </w:style>
  <w:style w:type="table" w:customStyle="1" w:styleId="82">
    <w:name w:val="标准样式31"/>
    <w:basedOn w:val="26"/>
    <w:qFormat/>
    <w:uiPriority w:val="99"/>
    <w:pPr>
      <w:jc w:val="center"/>
    </w:pPr>
    <w:rPr>
      <w:rFonts w:ascii="Times New Roman" w:hAnsi="Times New Roman" w:eastAsia="宋体" w:cs="Times New Roman"/>
    </w:rPr>
    <w:tblPr>
      <w:jc w:val="center"/>
      <w:tblBorders>
        <w:top w:val="double" w:color="0000C8" w:sz="6" w:space="0"/>
        <w:left w:val="double" w:color="0000C8" w:sz="6" w:space="0"/>
        <w:bottom w:val="double" w:color="0000C8" w:sz="6" w:space="0"/>
        <w:right w:val="double" w:color="0000C8" w:sz="6" w:space="0"/>
        <w:insideH w:val="single" w:color="0000C8" w:sz="4" w:space="0"/>
        <w:insideV w:val="single" w:color="0000C8" w:sz="4" w:space="0"/>
      </w:tblBorders>
      <w:tblCellMar>
        <w:top w:w="0" w:type="dxa"/>
        <w:left w:w="108" w:type="dxa"/>
        <w:bottom w:w="0" w:type="dxa"/>
        <w:right w:w="108" w:type="dxa"/>
      </w:tblCellMar>
    </w:tblPr>
    <w:trPr>
      <w:jc w:val="center"/>
    </w:trPr>
    <w:tcPr>
      <w:shd w:val="clear" w:color="auto" w:fill="D9D9D9"/>
      <w:vAlign w:val="center"/>
    </w:tcPr>
    <w:tblStylePr w:type="firstRow">
      <w:rPr>
        <w:rFonts w:eastAsia="宋体"/>
        <w:b/>
        <w:sz w:val="21"/>
      </w:rPr>
      <w:tcPr>
        <w:shd w:val="clear" w:color="auto" w:fill="B4C6E7"/>
      </w:tcPr>
    </w:tblStylePr>
    <w:tblStylePr w:type="firstCol">
      <w:rPr>
        <w:rFonts w:eastAsia="宋体"/>
        <w:b/>
        <w:sz w:val="21"/>
      </w:rPr>
      <w:tcPr>
        <w:shd w:val="clear" w:color="auto" w:fill="FBD4B4"/>
      </w:tcPr>
    </w:tblStylePr>
  </w:style>
</w:styles>
</file>

<file path=word/_rels/document.xml.rels><?xml version="1.0" encoding="UTF-8" standalone="yes"?>
<Relationships xmlns="http://schemas.openxmlformats.org/package/2006/relationships"><Relationship Id="rId99" Type="http://schemas.openxmlformats.org/officeDocument/2006/relationships/image" Target="media/image43.wmf"/><Relationship Id="rId98" Type="http://schemas.openxmlformats.org/officeDocument/2006/relationships/oleObject" Target="embeddings/oleObject39.bin"/><Relationship Id="rId97" Type="http://schemas.openxmlformats.org/officeDocument/2006/relationships/image" Target="media/image42.wmf"/><Relationship Id="rId96" Type="http://schemas.openxmlformats.org/officeDocument/2006/relationships/oleObject" Target="embeddings/oleObject38.bin"/><Relationship Id="rId95" Type="http://schemas.openxmlformats.org/officeDocument/2006/relationships/image" Target="media/image41.png"/><Relationship Id="rId94" Type="http://schemas.openxmlformats.org/officeDocument/2006/relationships/image" Target="media/image40.wmf"/><Relationship Id="rId93" Type="http://schemas.openxmlformats.org/officeDocument/2006/relationships/oleObject" Target="embeddings/oleObject37.bin"/><Relationship Id="rId92" Type="http://schemas.openxmlformats.org/officeDocument/2006/relationships/image" Target="media/image39.jpeg"/><Relationship Id="rId91" Type="http://schemas.openxmlformats.org/officeDocument/2006/relationships/image" Target="media/image38.wmf"/><Relationship Id="rId90" Type="http://schemas.openxmlformats.org/officeDocument/2006/relationships/oleObject" Target="embeddings/oleObject36.bin"/><Relationship Id="rId9" Type="http://schemas.openxmlformats.org/officeDocument/2006/relationships/footer" Target="footer2.xml"/><Relationship Id="rId89" Type="http://schemas.openxmlformats.org/officeDocument/2006/relationships/image" Target="media/image37.wmf"/><Relationship Id="rId88" Type="http://schemas.openxmlformats.org/officeDocument/2006/relationships/oleObject" Target="embeddings/oleObject35.bin"/><Relationship Id="rId87" Type="http://schemas.openxmlformats.org/officeDocument/2006/relationships/image" Target="media/image36.wmf"/><Relationship Id="rId86" Type="http://schemas.openxmlformats.org/officeDocument/2006/relationships/oleObject" Target="embeddings/oleObject34.bin"/><Relationship Id="rId85" Type="http://schemas.openxmlformats.org/officeDocument/2006/relationships/image" Target="media/image35.wmf"/><Relationship Id="rId84" Type="http://schemas.openxmlformats.org/officeDocument/2006/relationships/oleObject" Target="embeddings/oleObject33.bin"/><Relationship Id="rId83" Type="http://schemas.openxmlformats.org/officeDocument/2006/relationships/image" Target="media/image34.wmf"/><Relationship Id="rId82" Type="http://schemas.openxmlformats.org/officeDocument/2006/relationships/oleObject" Target="embeddings/oleObject32.bin"/><Relationship Id="rId81" Type="http://schemas.openxmlformats.org/officeDocument/2006/relationships/image" Target="media/image33.wmf"/><Relationship Id="rId80" Type="http://schemas.openxmlformats.org/officeDocument/2006/relationships/oleObject" Target="embeddings/oleObject31.bin"/><Relationship Id="rId8" Type="http://schemas.openxmlformats.org/officeDocument/2006/relationships/footer" Target="footer1.xml"/><Relationship Id="rId79" Type="http://schemas.openxmlformats.org/officeDocument/2006/relationships/image" Target="media/image32.wmf"/><Relationship Id="rId78" Type="http://schemas.openxmlformats.org/officeDocument/2006/relationships/oleObject" Target="embeddings/oleObject30.bin"/><Relationship Id="rId77" Type="http://schemas.openxmlformats.org/officeDocument/2006/relationships/image" Target="media/image31.wmf"/><Relationship Id="rId76" Type="http://schemas.openxmlformats.org/officeDocument/2006/relationships/oleObject" Target="embeddings/oleObject29.bin"/><Relationship Id="rId75" Type="http://schemas.openxmlformats.org/officeDocument/2006/relationships/image" Target="media/image30.wmf"/><Relationship Id="rId74" Type="http://schemas.openxmlformats.org/officeDocument/2006/relationships/oleObject" Target="embeddings/oleObject28.bin"/><Relationship Id="rId73" Type="http://schemas.openxmlformats.org/officeDocument/2006/relationships/image" Target="media/image29.wmf"/><Relationship Id="rId72" Type="http://schemas.openxmlformats.org/officeDocument/2006/relationships/oleObject" Target="embeddings/oleObject27.bin"/><Relationship Id="rId71" Type="http://schemas.openxmlformats.org/officeDocument/2006/relationships/image" Target="media/image28.wmf"/><Relationship Id="rId70" Type="http://schemas.openxmlformats.org/officeDocument/2006/relationships/oleObject" Target="embeddings/oleObject26.bin"/><Relationship Id="rId7" Type="http://schemas.openxmlformats.org/officeDocument/2006/relationships/header" Target="header3.xml"/><Relationship Id="rId69" Type="http://schemas.openxmlformats.org/officeDocument/2006/relationships/image" Target="media/image27.wmf"/><Relationship Id="rId68" Type="http://schemas.openxmlformats.org/officeDocument/2006/relationships/oleObject" Target="embeddings/oleObject25.bin"/><Relationship Id="rId67" Type="http://schemas.openxmlformats.org/officeDocument/2006/relationships/image" Target="media/image26.wmf"/><Relationship Id="rId66" Type="http://schemas.openxmlformats.org/officeDocument/2006/relationships/oleObject" Target="embeddings/oleObject24.bin"/><Relationship Id="rId65" Type="http://schemas.openxmlformats.org/officeDocument/2006/relationships/image" Target="media/image25.wmf"/><Relationship Id="rId64" Type="http://schemas.openxmlformats.org/officeDocument/2006/relationships/oleObject" Target="embeddings/oleObject23.bin"/><Relationship Id="rId63" Type="http://schemas.openxmlformats.org/officeDocument/2006/relationships/image" Target="media/image24.wmf"/><Relationship Id="rId62" Type="http://schemas.openxmlformats.org/officeDocument/2006/relationships/oleObject" Target="embeddings/oleObject22.bin"/><Relationship Id="rId61" Type="http://schemas.openxmlformats.org/officeDocument/2006/relationships/image" Target="media/image23.wmf"/><Relationship Id="rId60" Type="http://schemas.openxmlformats.org/officeDocument/2006/relationships/oleObject" Target="embeddings/oleObject21.bin"/><Relationship Id="rId6" Type="http://schemas.openxmlformats.org/officeDocument/2006/relationships/header" Target="header2.xml"/><Relationship Id="rId59" Type="http://schemas.openxmlformats.org/officeDocument/2006/relationships/image" Target="media/image22.wmf"/><Relationship Id="rId58" Type="http://schemas.openxmlformats.org/officeDocument/2006/relationships/oleObject" Target="embeddings/oleObject20.bin"/><Relationship Id="rId57" Type="http://schemas.openxmlformats.org/officeDocument/2006/relationships/image" Target="media/image21.wmf"/><Relationship Id="rId56" Type="http://schemas.openxmlformats.org/officeDocument/2006/relationships/oleObject" Target="embeddings/oleObject19.bin"/><Relationship Id="rId55" Type="http://schemas.openxmlformats.org/officeDocument/2006/relationships/image" Target="media/image20.wmf"/><Relationship Id="rId54" Type="http://schemas.openxmlformats.org/officeDocument/2006/relationships/oleObject" Target="embeddings/oleObject18.bin"/><Relationship Id="rId53" Type="http://schemas.openxmlformats.org/officeDocument/2006/relationships/image" Target="media/image19.wmf"/><Relationship Id="rId52" Type="http://schemas.openxmlformats.org/officeDocument/2006/relationships/oleObject" Target="embeddings/oleObject17.bin"/><Relationship Id="rId51" Type="http://schemas.openxmlformats.org/officeDocument/2006/relationships/image" Target="media/image18.wmf"/><Relationship Id="rId50" Type="http://schemas.openxmlformats.org/officeDocument/2006/relationships/oleObject" Target="embeddings/oleObject16.bin"/><Relationship Id="rId5" Type="http://schemas.openxmlformats.org/officeDocument/2006/relationships/header" Target="header1.xml"/><Relationship Id="rId49" Type="http://schemas.openxmlformats.org/officeDocument/2006/relationships/image" Target="media/image17.wmf"/><Relationship Id="rId48" Type="http://schemas.openxmlformats.org/officeDocument/2006/relationships/oleObject" Target="embeddings/oleObject15.bin"/><Relationship Id="rId47" Type="http://schemas.openxmlformats.org/officeDocument/2006/relationships/image" Target="media/image16.wmf"/><Relationship Id="rId46" Type="http://schemas.openxmlformats.org/officeDocument/2006/relationships/oleObject" Target="embeddings/oleObject14.bin"/><Relationship Id="rId45" Type="http://schemas.openxmlformats.org/officeDocument/2006/relationships/image" Target="media/image15.wmf"/><Relationship Id="rId44" Type="http://schemas.openxmlformats.org/officeDocument/2006/relationships/oleObject" Target="embeddings/oleObject13.bin"/><Relationship Id="rId43" Type="http://schemas.openxmlformats.org/officeDocument/2006/relationships/image" Target="media/image14.wmf"/><Relationship Id="rId42" Type="http://schemas.openxmlformats.org/officeDocument/2006/relationships/oleObject" Target="embeddings/oleObject12.bin"/><Relationship Id="rId41" Type="http://schemas.openxmlformats.org/officeDocument/2006/relationships/image" Target="media/image13.wmf"/><Relationship Id="rId40" Type="http://schemas.openxmlformats.org/officeDocument/2006/relationships/oleObject" Target="embeddings/oleObject11.bin"/><Relationship Id="rId4" Type="http://schemas.openxmlformats.org/officeDocument/2006/relationships/endnotes" Target="endnotes.xml"/><Relationship Id="rId39" Type="http://schemas.openxmlformats.org/officeDocument/2006/relationships/image" Target="media/image12.wmf"/><Relationship Id="rId38" Type="http://schemas.openxmlformats.org/officeDocument/2006/relationships/oleObject" Target="embeddings/oleObject10.bin"/><Relationship Id="rId37" Type="http://schemas.openxmlformats.org/officeDocument/2006/relationships/image" Target="media/image11.wmf"/><Relationship Id="rId36" Type="http://schemas.openxmlformats.org/officeDocument/2006/relationships/oleObject" Target="embeddings/oleObject9.bin"/><Relationship Id="rId35" Type="http://schemas.openxmlformats.org/officeDocument/2006/relationships/image" Target="media/image10.wmf"/><Relationship Id="rId34" Type="http://schemas.openxmlformats.org/officeDocument/2006/relationships/oleObject" Target="embeddings/oleObject8.bin"/><Relationship Id="rId33" Type="http://schemas.openxmlformats.org/officeDocument/2006/relationships/image" Target="media/image9.wmf"/><Relationship Id="rId32" Type="http://schemas.openxmlformats.org/officeDocument/2006/relationships/oleObject" Target="embeddings/oleObject7.bin"/><Relationship Id="rId31" Type="http://schemas.openxmlformats.org/officeDocument/2006/relationships/image" Target="media/image8.wmf"/><Relationship Id="rId30" Type="http://schemas.openxmlformats.org/officeDocument/2006/relationships/oleObject" Target="embeddings/oleObject6.bin"/><Relationship Id="rId3" Type="http://schemas.openxmlformats.org/officeDocument/2006/relationships/footnotes" Target="footnotes.xml"/><Relationship Id="rId29" Type="http://schemas.openxmlformats.org/officeDocument/2006/relationships/image" Target="media/image7.wmf"/><Relationship Id="rId28" Type="http://schemas.openxmlformats.org/officeDocument/2006/relationships/oleObject" Target="embeddings/oleObject5.bin"/><Relationship Id="rId27" Type="http://schemas.openxmlformats.org/officeDocument/2006/relationships/image" Target="media/image6.wmf"/><Relationship Id="rId26" Type="http://schemas.openxmlformats.org/officeDocument/2006/relationships/oleObject" Target="embeddings/oleObject4.bin"/><Relationship Id="rId25" Type="http://schemas.openxmlformats.org/officeDocument/2006/relationships/image" Target="media/image5.wmf"/><Relationship Id="rId24" Type="http://schemas.openxmlformats.org/officeDocument/2006/relationships/oleObject" Target="embeddings/oleObject3.bin"/><Relationship Id="rId23" Type="http://schemas.openxmlformats.org/officeDocument/2006/relationships/image" Target="media/image4.png"/><Relationship Id="rId22" Type="http://schemas.openxmlformats.org/officeDocument/2006/relationships/image" Target="media/image3.png"/><Relationship Id="rId21" Type="http://schemas.openxmlformats.org/officeDocument/2006/relationships/image" Target="media/image2.w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1.wmf"/><Relationship Id="rId18" Type="http://schemas.openxmlformats.org/officeDocument/2006/relationships/oleObject" Target="embeddings/oleObject1.bin"/><Relationship Id="rId17" Type="http://schemas.openxmlformats.org/officeDocument/2006/relationships/theme" Target="theme/theme1.xml"/><Relationship Id="rId166" Type="http://schemas.openxmlformats.org/officeDocument/2006/relationships/fontTable" Target="fontTable.xml"/><Relationship Id="rId165" Type="http://schemas.openxmlformats.org/officeDocument/2006/relationships/customXml" Target="../customXml/item2.xml"/><Relationship Id="rId164" Type="http://schemas.openxmlformats.org/officeDocument/2006/relationships/numbering" Target="numbering.xml"/><Relationship Id="rId163" Type="http://schemas.openxmlformats.org/officeDocument/2006/relationships/customXml" Target="../customXml/item1.xml"/><Relationship Id="rId162" Type="http://schemas.openxmlformats.org/officeDocument/2006/relationships/image" Target="media/image74.wmf"/><Relationship Id="rId161" Type="http://schemas.openxmlformats.org/officeDocument/2006/relationships/oleObject" Target="embeddings/oleObject71.bin"/><Relationship Id="rId160" Type="http://schemas.openxmlformats.org/officeDocument/2006/relationships/image" Target="media/image73.wmf"/><Relationship Id="rId16" Type="http://schemas.openxmlformats.org/officeDocument/2006/relationships/footer" Target="footer9.xml"/><Relationship Id="rId159" Type="http://schemas.openxmlformats.org/officeDocument/2006/relationships/oleObject" Target="embeddings/oleObject70.bin"/><Relationship Id="rId158" Type="http://schemas.openxmlformats.org/officeDocument/2006/relationships/image" Target="media/image72.wmf"/><Relationship Id="rId157" Type="http://schemas.openxmlformats.org/officeDocument/2006/relationships/oleObject" Target="embeddings/oleObject69.bin"/><Relationship Id="rId156" Type="http://schemas.openxmlformats.org/officeDocument/2006/relationships/image" Target="media/image71.wmf"/><Relationship Id="rId155" Type="http://schemas.openxmlformats.org/officeDocument/2006/relationships/oleObject" Target="embeddings/oleObject68.bin"/><Relationship Id="rId154" Type="http://schemas.openxmlformats.org/officeDocument/2006/relationships/image" Target="media/image70.wmf"/><Relationship Id="rId153" Type="http://schemas.openxmlformats.org/officeDocument/2006/relationships/oleObject" Target="embeddings/oleObject67.bin"/><Relationship Id="rId152" Type="http://schemas.openxmlformats.org/officeDocument/2006/relationships/image" Target="media/image69.wmf"/><Relationship Id="rId151" Type="http://schemas.openxmlformats.org/officeDocument/2006/relationships/oleObject" Target="embeddings/oleObject66.bin"/><Relationship Id="rId150" Type="http://schemas.openxmlformats.org/officeDocument/2006/relationships/image" Target="media/image68.wmf"/><Relationship Id="rId15" Type="http://schemas.openxmlformats.org/officeDocument/2006/relationships/footer" Target="footer8.xml"/><Relationship Id="rId149" Type="http://schemas.openxmlformats.org/officeDocument/2006/relationships/oleObject" Target="embeddings/oleObject65.bin"/><Relationship Id="rId148" Type="http://schemas.openxmlformats.org/officeDocument/2006/relationships/image" Target="media/image67.wmf"/><Relationship Id="rId147" Type="http://schemas.openxmlformats.org/officeDocument/2006/relationships/oleObject" Target="embeddings/oleObject64.bin"/><Relationship Id="rId146" Type="http://schemas.openxmlformats.org/officeDocument/2006/relationships/image" Target="media/image66.wmf"/><Relationship Id="rId145" Type="http://schemas.openxmlformats.org/officeDocument/2006/relationships/oleObject" Target="embeddings/oleObject63.bin"/><Relationship Id="rId144" Type="http://schemas.openxmlformats.org/officeDocument/2006/relationships/image" Target="media/image65.wmf"/><Relationship Id="rId143" Type="http://schemas.openxmlformats.org/officeDocument/2006/relationships/oleObject" Target="embeddings/oleObject62.bin"/><Relationship Id="rId142" Type="http://schemas.openxmlformats.org/officeDocument/2006/relationships/image" Target="media/image64.wmf"/><Relationship Id="rId141" Type="http://schemas.openxmlformats.org/officeDocument/2006/relationships/oleObject" Target="embeddings/oleObject61.bin"/><Relationship Id="rId140" Type="http://schemas.openxmlformats.org/officeDocument/2006/relationships/image" Target="media/image63.wmf"/><Relationship Id="rId14" Type="http://schemas.openxmlformats.org/officeDocument/2006/relationships/footer" Target="footer7.xml"/><Relationship Id="rId139" Type="http://schemas.openxmlformats.org/officeDocument/2006/relationships/oleObject" Target="embeddings/oleObject60.bin"/><Relationship Id="rId138" Type="http://schemas.openxmlformats.org/officeDocument/2006/relationships/image" Target="media/image62.wmf"/><Relationship Id="rId137" Type="http://schemas.openxmlformats.org/officeDocument/2006/relationships/oleObject" Target="embeddings/oleObject59.bin"/><Relationship Id="rId136" Type="http://schemas.openxmlformats.org/officeDocument/2006/relationships/image" Target="media/image61.wmf"/><Relationship Id="rId135" Type="http://schemas.openxmlformats.org/officeDocument/2006/relationships/oleObject" Target="embeddings/oleObject58.bin"/><Relationship Id="rId134" Type="http://schemas.openxmlformats.org/officeDocument/2006/relationships/image" Target="media/image60.wmf"/><Relationship Id="rId133" Type="http://schemas.openxmlformats.org/officeDocument/2006/relationships/oleObject" Target="embeddings/oleObject57.bin"/><Relationship Id="rId132" Type="http://schemas.openxmlformats.org/officeDocument/2006/relationships/image" Target="media/image59.wmf"/><Relationship Id="rId131" Type="http://schemas.openxmlformats.org/officeDocument/2006/relationships/oleObject" Target="embeddings/oleObject56.bin"/><Relationship Id="rId130" Type="http://schemas.openxmlformats.org/officeDocument/2006/relationships/image" Target="media/image58.wmf"/><Relationship Id="rId13" Type="http://schemas.openxmlformats.org/officeDocument/2006/relationships/footer" Target="footer6.xml"/><Relationship Id="rId129" Type="http://schemas.openxmlformats.org/officeDocument/2006/relationships/oleObject" Target="embeddings/oleObject55.bin"/><Relationship Id="rId128" Type="http://schemas.openxmlformats.org/officeDocument/2006/relationships/image" Target="media/image57.wmf"/><Relationship Id="rId127" Type="http://schemas.openxmlformats.org/officeDocument/2006/relationships/oleObject" Target="embeddings/oleObject54.bin"/><Relationship Id="rId126" Type="http://schemas.openxmlformats.org/officeDocument/2006/relationships/image" Target="media/image56.wmf"/><Relationship Id="rId125" Type="http://schemas.openxmlformats.org/officeDocument/2006/relationships/oleObject" Target="embeddings/oleObject53.bin"/><Relationship Id="rId124" Type="http://schemas.openxmlformats.org/officeDocument/2006/relationships/image" Target="media/image55.wmf"/><Relationship Id="rId123" Type="http://schemas.openxmlformats.org/officeDocument/2006/relationships/oleObject" Target="embeddings/oleObject52.bin"/><Relationship Id="rId122" Type="http://schemas.openxmlformats.org/officeDocument/2006/relationships/image" Target="media/image54.wmf"/><Relationship Id="rId121" Type="http://schemas.openxmlformats.org/officeDocument/2006/relationships/oleObject" Target="embeddings/oleObject51.bin"/><Relationship Id="rId120" Type="http://schemas.openxmlformats.org/officeDocument/2006/relationships/oleObject" Target="embeddings/oleObject50.bin"/><Relationship Id="rId12" Type="http://schemas.openxmlformats.org/officeDocument/2006/relationships/footer" Target="footer5.xml"/><Relationship Id="rId119" Type="http://schemas.openxmlformats.org/officeDocument/2006/relationships/image" Target="media/image53.wmf"/><Relationship Id="rId118" Type="http://schemas.openxmlformats.org/officeDocument/2006/relationships/oleObject" Target="embeddings/oleObject49.bin"/><Relationship Id="rId117" Type="http://schemas.openxmlformats.org/officeDocument/2006/relationships/image" Target="media/image52.wmf"/><Relationship Id="rId116" Type="http://schemas.openxmlformats.org/officeDocument/2006/relationships/oleObject" Target="embeddings/oleObject48.bin"/><Relationship Id="rId115" Type="http://schemas.openxmlformats.org/officeDocument/2006/relationships/image" Target="media/image51.wmf"/><Relationship Id="rId114" Type="http://schemas.openxmlformats.org/officeDocument/2006/relationships/oleObject" Target="embeddings/oleObject47.bin"/><Relationship Id="rId113" Type="http://schemas.openxmlformats.org/officeDocument/2006/relationships/image" Target="media/image50.wmf"/><Relationship Id="rId112" Type="http://schemas.openxmlformats.org/officeDocument/2006/relationships/oleObject" Target="embeddings/oleObject46.bin"/><Relationship Id="rId111" Type="http://schemas.openxmlformats.org/officeDocument/2006/relationships/image" Target="media/image49.wmf"/><Relationship Id="rId110" Type="http://schemas.openxmlformats.org/officeDocument/2006/relationships/oleObject" Target="embeddings/oleObject45.bin"/><Relationship Id="rId11" Type="http://schemas.openxmlformats.org/officeDocument/2006/relationships/footer" Target="footer4.xml"/><Relationship Id="rId109" Type="http://schemas.openxmlformats.org/officeDocument/2006/relationships/image" Target="media/image48.wmf"/><Relationship Id="rId108" Type="http://schemas.openxmlformats.org/officeDocument/2006/relationships/oleObject" Target="embeddings/oleObject44.bin"/><Relationship Id="rId107" Type="http://schemas.openxmlformats.org/officeDocument/2006/relationships/image" Target="media/image47.wmf"/><Relationship Id="rId106" Type="http://schemas.openxmlformats.org/officeDocument/2006/relationships/oleObject" Target="embeddings/oleObject43.bin"/><Relationship Id="rId105" Type="http://schemas.openxmlformats.org/officeDocument/2006/relationships/image" Target="media/image46.wmf"/><Relationship Id="rId104" Type="http://schemas.openxmlformats.org/officeDocument/2006/relationships/oleObject" Target="embeddings/oleObject42.bin"/><Relationship Id="rId103" Type="http://schemas.openxmlformats.org/officeDocument/2006/relationships/image" Target="media/image45.wmf"/><Relationship Id="rId102" Type="http://schemas.openxmlformats.org/officeDocument/2006/relationships/oleObject" Target="embeddings/oleObject41.bin"/><Relationship Id="rId101" Type="http://schemas.openxmlformats.org/officeDocument/2006/relationships/image" Target="media/image44.wmf"/><Relationship Id="rId100" Type="http://schemas.openxmlformats.org/officeDocument/2006/relationships/oleObject" Target="embeddings/oleObject40.bin"/><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F7619B-4A07-4612-931C-DAD51AD66CB4}">
  <ds:schemaRefs/>
</ds:datastoreItem>
</file>

<file path=docProps/app.xml><?xml version="1.0" encoding="utf-8"?>
<Properties xmlns="http://schemas.openxmlformats.org/officeDocument/2006/extended-properties" xmlns:vt="http://schemas.openxmlformats.org/officeDocument/2006/docPropsVTypes">
  <Template>Normal.dotm</Template>
  <Pages>50</Pages>
  <Words>22021</Words>
  <Characters>23705</Characters>
  <Lines>214</Lines>
  <Paragraphs>60</Paragraphs>
  <TotalTime>197</TotalTime>
  <ScaleCrop>false</ScaleCrop>
  <LinksUpToDate>false</LinksUpToDate>
  <CharactersWithSpaces>24190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2022-08-15T03:29:00Z</dcterms:created>
  <dc:creator>李嘉成</dc:creator>
  <cp:lastModifiedBy>尹东亚</cp:lastModifiedBy>
  <cp:lastPrinted>2022-08-03T03:25:00Z</cp:lastPrinted>
  <dcterms:modified xsi:type="dcterms:W3CDTF">2022-09-28T06:57:21Z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KSOProductBuildVer">
    <vt:lpwstr>2052-11.1.0.12313</vt:lpwstr>
  </property>
  <property fmtid="{D5CDD505-2E9C-101B-9397-08002B2CF9AE}" pid="5" name="ICV">
    <vt:lpwstr>B17C38B04EC54D65A33CC8F3CA11CF6E</vt:lpwstr>
  </property>
</Properties>
</file>